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4FF84" w14:textId="2B89367B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  <w:bCs/>
        </w:rPr>
        <w:t>EXCELENTÍSSIM</w:t>
      </w:r>
      <w:r w:rsidR="00C02857" w:rsidRPr="00C90D89">
        <w:rPr>
          <w:rFonts w:ascii="Times New Roman" w:hAnsi="Times New Roman" w:cs="Times New Roman"/>
          <w:b/>
          <w:bCs/>
        </w:rPr>
        <w:t>O(</w:t>
      </w:r>
      <w:r w:rsidRPr="00C90D89">
        <w:rPr>
          <w:rFonts w:ascii="Times New Roman" w:hAnsi="Times New Roman" w:cs="Times New Roman"/>
          <w:b/>
          <w:bCs/>
        </w:rPr>
        <w:t>A</w:t>
      </w:r>
      <w:r w:rsidR="00C02857" w:rsidRPr="00C90D89">
        <w:rPr>
          <w:rFonts w:ascii="Times New Roman" w:hAnsi="Times New Roman" w:cs="Times New Roman"/>
          <w:b/>
          <w:bCs/>
        </w:rPr>
        <w:t>)</w:t>
      </w:r>
      <w:r w:rsidRPr="00C90D89">
        <w:rPr>
          <w:rFonts w:ascii="Times New Roman" w:hAnsi="Times New Roman" w:cs="Times New Roman"/>
          <w:b/>
          <w:bCs/>
        </w:rPr>
        <w:t xml:space="preserve"> SENHOR</w:t>
      </w:r>
      <w:r w:rsidR="00C02857" w:rsidRPr="00C90D89">
        <w:rPr>
          <w:rFonts w:ascii="Times New Roman" w:hAnsi="Times New Roman" w:cs="Times New Roman"/>
          <w:b/>
          <w:bCs/>
        </w:rPr>
        <w:t>(</w:t>
      </w:r>
      <w:r w:rsidRPr="00C90D89">
        <w:rPr>
          <w:rFonts w:ascii="Times New Roman" w:hAnsi="Times New Roman" w:cs="Times New Roman"/>
          <w:b/>
          <w:bCs/>
        </w:rPr>
        <w:t>A</w:t>
      </w:r>
      <w:r w:rsidR="00C02857" w:rsidRPr="00C90D89">
        <w:rPr>
          <w:rFonts w:ascii="Times New Roman" w:hAnsi="Times New Roman" w:cs="Times New Roman"/>
          <w:b/>
          <w:bCs/>
        </w:rPr>
        <w:t>)</w:t>
      </w:r>
      <w:r w:rsidRPr="00C90D89">
        <w:rPr>
          <w:rFonts w:ascii="Times New Roman" w:hAnsi="Times New Roman" w:cs="Times New Roman"/>
          <w:b/>
          <w:bCs/>
        </w:rPr>
        <w:t xml:space="preserve"> JU</w:t>
      </w:r>
      <w:r w:rsidR="00C02857" w:rsidRPr="00C90D89">
        <w:rPr>
          <w:rFonts w:ascii="Times New Roman" w:hAnsi="Times New Roman" w:cs="Times New Roman"/>
          <w:b/>
          <w:bCs/>
        </w:rPr>
        <w:t>IZ(</w:t>
      </w:r>
      <w:r w:rsidR="00217834" w:rsidRPr="00C90D89">
        <w:rPr>
          <w:rFonts w:ascii="Times New Roman" w:hAnsi="Times New Roman" w:cs="Times New Roman"/>
          <w:b/>
          <w:bCs/>
        </w:rPr>
        <w:t>ÍZ</w:t>
      </w:r>
      <w:r w:rsidR="00C02857" w:rsidRPr="00C90D89">
        <w:rPr>
          <w:rFonts w:ascii="Times New Roman" w:hAnsi="Times New Roman" w:cs="Times New Roman"/>
          <w:b/>
          <w:bCs/>
        </w:rPr>
        <w:t>A)</w:t>
      </w:r>
      <w:r w:rsidRPr="00C90D89">
        <w:rPr>
          <w:rFonts w:ascii="Times New Roman" w:hAnsi="Times New Roman" w:cs="Times New Roman"/>
          <w:b/>
          <w:bCs/>
        </w:rPr>
        <w:t xml:space="preserve"> </w:t>
      </w:r>
      <w:r w:rsidR="00217834" w:rsidRPr="00C90D89">
        <w:rPr>
          <w:rFonts w:ascii="Times New Roman" w:hAnsi="Times New Roman" w:cs="Times New Roman"/>
          <w:b/>
          <w:bCs/>
        </w:rPr>
        <w:t xml:space="preserve">FEDERAL </w:t>
      </w:r>
      <w:r w:rsidRPr="00C90D89">
        <w:rPr>
          <w:rFonts w:ascii="Times New Roman" w:hAnsi="Times New Roman" w:cs="Times New Roman"/>
          <w:b/>
          <w:bCs/>
        </w:rPr>
        <w:t>D</w:t>
      </w:r>
      <w:r w:rsidR="00217834" w:rsidRPr="00C90D89">
        <w:rPr>
          <w:rFonts w:ascii="Times New Roman" w:hAnsi="Times New Roman" w:cs="Times New Roman"/>
          <w:b/>
          <w:bCs/>
        </w:rPr>
        <w:t xml:space="preserve">A </w:t>
      </w:r>
      <w:r w:rsidR="002D453C">
        <w:rPr>
          <w:rFonts w:ascii="Times New Roman" w:hAnsi="Times New Roman" w:cs="Times New Roman"/>
          <w:b/>
          <w:bCs/>
        </w:rPr>
        <w:t xml:space="preserve">___ </w:t>
      </w:r>
      <w:r w:rsidR="00217834" w:rsidRPr="00C90D89">
        <w:rPr>
          <w:rFonts w:ascii="Times New Roman" w:hAnsi="Times New Roman" w:cs="Times New Roman"/>
          <w:b/>
          <w:bCs/>
        </w:rPr>
        <w:t>VARA FEDERAL</w:t>
      </w:r>
      <w:r w:rsidR="002D453C">
        <w:rPr>
          <w:rFonts w:ascii="Times New Roman" w:hAnsi="Times New Roman" w:cs="Times New Roman"/>
          <w:b/>
          <w:bCs/>
        </w:rPr>
        <w:t xml:space="preserve"> EM BRASÍLIA</w:t>
      </w:r>
      <w:r w:rsidR="00217834" w:rsidRPr="00C90D89">
        <w:rPr>
          <w:rFonts w:ascii="Times New Roman" w:hAnsi="Times New Roman" w:cs="Times New Roman"/>
          <w:b/>
          <w:bCs/>
        </w:rPr>
        <w:t xml:space="preserve">, SEÇÃO JUDICIÁRIA DO </w:t>
      </w:r>
      <w:r w:rsidR="002D453C">
        <w:rPr>
          <w:rFonts w:ascii="Times New Roman" w:hAnsi="Times New Roman" w:cs="Times New Roman"/>
          <w:b/>
          <w:bCs/>
        </w:rPr>
        <w:t>DISTRITO FEDERAL</w:t>
      </w:r>
    </w:p>
    <w:p w14:paraId="27AB6E74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76B92996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387D4A57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3999C658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B5AF688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4BB0B412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4F8E942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6C197732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27FE9A6C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6D76F261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073D6894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F17E068" w14:textId="77777777" w:rsidR="004B7BAC" w:rsidRPr="00C90D89" w:rsidRDefault="004B7BAC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9E1BAA0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43C16331" w14:textId="1E6175E7" w:rsidR="00EA5254" w:rsidRPr="00C90D89" w:rsidRDefault="00C02857" w:rsidP="00C02857">
      <w:pPr>
        <w:spacing w:line="360" w:lineRule="auto"/>
        <w:ind w:left="2268"/>
        <w:jc w:val="both"/>
        <w:rPr>
          <w:rFonts w:ascii="Times New Roman" w:eastAsia="Arial Unicode MS" w:hAnsi="Times New Roman" w:cs="Times New Roman"/>
          <w:color w:val="000000"/>
          <w:lang w:eastAsia="pt-BR"/>
        </w:rPr>
      </w:pPr>
      <w:r w:rsidRPr="00C90D89">
        <w:rPr>
          <w:rFonts w:ascii="Times New Roman" w:eastAsia="Arial Unicode MS" w:hAnsi="Times New Roman" w:cs="Times New Roman"/>
          <w:b/>
          <w:lang w:eastAsia="pt-BR"/>
        </w:rPr>
        <w:t xml:space="preserve">MUNICÍPIO DE </w:t>
      </w:r>
      <w:r w:rsidR="004B7BAC" w:rsidRPr="00C90D89">
        <w:rPr>
          <w:rFonts w:ascii="Times New Roman" w:eastAsia="Arial Unicode MS" w:hAnsi="Times New Roman" w:cs="Times New Roman"/>
          <w:b/>
          <w:color w:val="FF0000"/>
          <w:lang w:eastAsia="pt-BR"/>
        </w:rPr>
        <w:t>XXXXX</w:t>
      </w:r>
      <w:r w:rsidRPr="00C90D89">
        <w:rPr>
          <w:rFonts w:ascii="Times New Roman" w:eastAsia="Arial Unicode MS" w:hAnsi="Times New Roman" w:cs="Times New Roman"/>
          <w:lang w:eastAsia="pt-BR"/>
        </w:rPr>
        <w:t>, pessoa jurídica de direito público interno, inscrit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>o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 no CNPJ sob o nº </w:t>
      </w:r>
      <w:r w:rsidRPr="00C90D89">
        <w:rPr>
          <w:rFonts w:ascii="Times New Roman" w:hAnsi="Times New Roman" w:cs="Times New Roman"/>
          <w:color w:val="FF0000"/>
          <w:shd w:val="clear" w:color="auto" w:fill="FFFFFF"/>
        </w:rPr>
        <w:t>XX.XXX.XXX/XXXX-XX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com sede em sua Prefeitura na Rua </w:t>
      </w:r>
      <w:r w:rsidRPr="00C90D89">
        <w:rPr>
          <w:rFonts w:ascii="Times New Roman" w:eastAsia="Arial Unicode MS" w:hAnsi="Times New Roman" w:cs="Times New Roman"/>
          <w:color w:val="FF0000"/>
          <w:lang w:eastAsia="pt-BR"/>
        </w:rPr>
        <w:t>XXXXX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nº </w:t>
      </w:r>
      <w:r w:rsidRPr="00C90D89">
        <w:rPr>
          <w:rFonts w:ascii="Times New Roman" w:eastAsia="Arial Unicode MS" w:hAnsi="Times New Roman" w:cs="Times New Roman"/>
          <w:color w:val="FF0000"/>
          <w:lang w:eastAsia="pt-BR"/>
        </w:rPr>
        <w:t>XX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 xml:space="preserve">, por seu </w:t>
      </w:r>
      <w:r w:rsidRPr="00C90D89">
        <w:rPr>
          <w:rFonts w:ascii="Times New Roman" w:eastAsia="Arial Unicode MS" w:hAnsi="Times New Roman" w:cs="Times New Roman"/>
          <w:color w:val="000000"/>
          <w:lang w:eastAsia="pt-BR"/>
        </w:rPr>
        <w:t>procurador abaixo assinado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 xml:space="preserve"> (doc. </w:t>
      </w:r>
      <w:r w:rsidR="00776768" w:rsidRPr="00C90D89">
        <w:rPr>
          <w:rFonts w:ascii="Times New Roman" w:eastAsia="Arial Unicode MS" w:hAnsi="Times New Roman" w:cs="Times New Roman"/>
          <w:color w:val="FF0000"/>
          <w:lang w:eastAsia="pt-BR"/>
        </w:rPr>
        <w:t>XX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>), vem perante Vossa Excelência ajuizar a presente</w:t>
      </w:r>
    </w:p>
    <w:p w14:paraId="6D072B2F" w14:textId="77777777" w:rsidR="00EA5254" w:rsidRPr="00C90D89" w:rsidRDefault="00EA5254" w:rsidP="00C02857">
      <w:pPr>
        <w:spacing w:line="360" w:lineRule="auto"/>
        <w:ind w:left="2268"/>
        <w:jc w:val="both"/>
        <w:rPr>
          <w:rFonts w:ascii="Times New Roman" w:eastAsia="Arial Unicode MS" w:hAnsi="Times New Roman" w:cs="Times New Roman"/>
          <w:color w:val="000000"/>
          <w:lang w:eastAsia="pt-BR"/>
        </w:rPr>
      </w:pPr>
    </w:p>
    <w:p w14:paraId="4710A8DA" w14:textId="77777777" w:rsidR="00EA5254" w:rsidRPr="00C90D89" w:rsidRDefault="00EA5254" w:rsidP="00C02857">
      <w:pPr>
        <w:spacing w:line="360" w:lineRule="auto"/>
        <w:ind w:left="2268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pt-BR"/>
        </w:rPr>
      </w:pPr>
      <w:r w:rsidRPr="00C90D89">
        <w:rPr>
          <w:rFonts w:ascii="Times New Roman" w:eastAsia="Arial Unicode MS" w:hAnsi="Times New Roman" w:cs="Times New Roman"/>
          <w:b/>
          <w:bCs/>
          <w:color w:val="000000"/>
          <w:lang w:eastAsia="pt-BR"/>
        </w:rPr>
        <w:t>ação declaratória de invalidade de ato administrativo c/c</w:t>
      </w:r>
    </w:p>
    <w:p w14:paraId="2E5FCDB3" w14:textId="0D1BFD07" w:rsidR="00EA5254" w:rsidRPr="00C90D89" w:rsidRDefault="00C02857" w:rsidP="00C02857">
      <w:pPr>
        <w:spacing w:line="360" w:lineRule="auto"/>
        <w:ind w:left="2268"/>
        <w:jc w:val="center"/>
        <w:rPr>
          <w:rFonts w:ascii="Times New Roman" w:eastAsia="Arial Unicode MS" w:hAnsi="Times New Roman" w:cs="Times New Roman"/>
          <w:color w:val="000000"/>
          <w:lang w:eastAsia="pt-BR"/>
        </w:rPr>
      </w:pPr>
      <w:r w:rsidRPr="00C90D89">
        <w:rPr>
          <w:rFonts w:ascii="Times New Roman" w:eastAsia="Arial Unicode MS" w:hAnsi="Times New Roman" w:cs="Times New Roman"/>
          <w:b/>
          <w:bCs/>
          <w:color w:val="000000"/>
          <w:lang w:eastAsia="pt-BR"/>
        </w:rPr>
        <w:t>obrigação de não fazer</w:t>
      </w:r>
    </w:p>
    <w:p w14:paraId="2C631323" w14:textId="77777777" w:rsidR="00EA5254" w:rsidRPr="00C90D89" w:rsidRDefault="00EA5254" w:rsidP="00C02857">
      <w:pPr>
        <w:spacing w:line="360" w:lineRule="auto"/>
        <w:ind w:left="2268"/>
        <w:jc w:val="both"/>
        <w:rPr>
          <w:rFonts w:ascii="Times New Roman" w:eastAsia="Arial Unicode MS" w:hAnsi="Times New Roman" w:cs="Times New Roman"/>
          <w:color w:val="000000"/>
          <w:lang w:eastAsia="pt-BR"/>
        </w:rPr>
      </w:pPr>
    </w:p>
    <w:p w14:paraId="146049E1" w14:textId="04B8FEE3" w:rsidR="004B7BAC" w:rsidRPr="00C90D89" w:rsidRDefault="00EA5254" w:rsidP="004B7BAC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eastAsia="Arial Unicode MS" w:hAnsi="Times New Roman" w:cs="Times New Roman"/>
          <w:lang w:eastAsia="pt-BR"/>
        </w:rPr>
      </w:pPr>
      <w:r w:rsidRPr="00C90D89">
        <w:rPr>
          <w:rFonts w:ascii="Times New Roman" w:eastAsia="Arial Unicode MS" w:hAnsi="Times New Roman" w:cs="Times New Roman"/>
          <w:lang w:eastAsia="pt-BR"/>
        </w:rPr>
        <w:t>em face d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>a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 </w:t>
      </w:r>
      <w:r w:rsidR="004B7BAC" w:rsidRPr="00C90D89">
        <w:rPr>
          <w:rFonts w:ascii="Times New Roman" w:eastAsia="Arial Unicode MS" w:hAnsi="Times New Roman" w:cs="Times New Roman"/>
          <w:b/>
          <w:color w:val="FF0000"/>
          <w:lang w:eastAsia="pt-BR"/>
        </w:rPr>
        <w:t>XXXXX DISTRIBUIDORA DE ENERGIA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 xml:space="preserve">, concessionária do serviço público de distribuição de energia elétrica, inscrita no CNPJ sob o nº </w:t>
      </w:r>
      <w:r w:rsidR="004B7BAC" w:rsidRPr="00C90D89">
        <w:rPr>
          <w:rFonts w:ascii="Times New Roman" w:hAnsi="Times New Roman" w:cs="Times New Roman"/>
          <w:color w:val="FF0000"/>
          <w:shd w:val="clear" w:color="auto" w:fill="FFFFFF"/>
        </w:rPr>
        <w:t>XX.XXX.XXX/XXXX-XX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 xml:space="preserve">, com sede na Rua </w:t>
      </w:r>
      <w:r w:rsidR="004B7BAC" w:rsidRPr="00C90D89">
        <w:rPr>
          <w:rFonts w:ascii="Times New Roman" w:eastAsia="Arial Unicode MS" w:hAnsi="Times New Roman" w:cs="Times New Roman"/>
          <w:color w:val="FF0000"/>
          <w:lang w:eastAsia="pt-BR"/>
        </w:rPr>
        <w:t>XXXXX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 xml:space="preserve">, nº </w:t>
      </w:r>
      <w:r w:rsidR="004B7BAC" w:rsidRPr="00C90D89">
        <w:rPr>
          <w:rFonts w:ascii="Times New Roman" w:eastAsia="Arial Unicode MS" w:hAnsi="Times New Roman" w:cs="Times New Roman"/>
          <w:color w:val="FF0000"/>
          <w:lang w:eastAsia="pt-BR"/>
        </w:rPr>
        <w:t>XX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</w:t>
      </w:r>
    </w:p>
    <w:p w14:paraId="6B3580F1" w14:textId="77777777" w:rsidR="004B7BAC" w:rsidRPr="00C90D89" w:rsidRDefault="004B7BAC" w:rsidP="00C02857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eastAsia="Arial Unicode MS" w:hAnsi="Times New Roman" w:cs="Times New Roman"/>
          <w:lang w:eastAsia="pt-BR"/>
        </w:rPr>
      </w:pPr>
    </w:p>
    <w:p w14:paraId="69B1FDC1" w14:textId="7D7726C9" w:rsidR="0069012E" w:rsidRPr="00C90D89" w:rsidRDefault="004B7BAC" w:rsidP="00C02857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eastAsia="Arial Unicode MS" w:hAnsi="Times New Roman" w:cs="Times New Roman"/>
          <w:lang w:eastAsia="pt-BR"/>
        </w:rPr>
        <w:t xml:space="preserve">e de </w:t>
      </w:r>
      <w:r w:rsidRPr="00C90D89">
        <w:rPr>
          <w:rFonts w:ascii="Times New Roman" w:eastAsia="Arial Unicode MS" w:hAnsi="Times New Roman" w:cs="Times New Roman"/>
          <w:b/>
          <w:lang w:eastAsia="pt-BR"/>
        </w:rPr>
        <w:t>ANEEL – AGÊNCIA NACIONAL DE ENERGIA ELÉTRICA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pessoa jurídica de direito público interno, criada pela Lei n. 9.427/1996 com natureza jurídica de autarquia em regime especial federal e vinculada ao Ministério de Minas e Energia, inscrita no CNPJ sob o nº 02.270.669/0001-29, com sede na SGAN 603, módulo J, Brasília, Distrito Federal, CEP 70.830-030, o que faz </w:t>
      </w:r>
      <w:r w:rsidR="00EA5254" w:rsidRPr="00C90D89">
        <w:rPr>
          <w:rFonts w:ascii="Times New Roman" w:eastAsia="Arial Unicode MS" w:hAnsi="Times New Roman" w:cs="Times New Roman"/>
          <w:lang w:eastAsia="pt-BR"/>
        </w:rPr>
        <w:t xml:space="preserve">com base nos argumentos de fato e de direito que passa a 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>expor:</w:t>
      </w:r>
    </w:p>
    <w:p w14:paraId="24673033" w14:textId="77777777" w:rsidR="0069012E" w:rsidRPr="00C90D89" w:rsidRDefault="0069012E" w:rsidP="0069012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1"/>
      </w:tblGrid>
      <w:tr w:rsidR="00EA2F8B" w:rsidRPr="00C90D89" w14:paraId="17A09CE0" w14:textId="77777777" w:rsidTr="00BF75C8">
        <w:trPr>
          <w:jc w:val="center"/>
        </w:trPr>
        <w:tc>
          <w:tcPr>
            <w:tcW w:w="9211" w:type="dxa"/>
          </w:tcPr>
          <w:p w14:paraId="0A41DFEC" w14:textId="77777777" w:rsidR="00EA2F8B" w:rsidRPr="00C90D89" w:rsidRDefault="00EA2F8B" w:rsidP="00AB38CB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Sumário</w:t>
            </w:r>
          </w:p>
          <w:p w14:paraId="1C3806CD" w14:textId="52920F0F" w:rsidR="00EA2F8B" w:rsidRPr="00C90D89" w:rsidRDefault="00EA2F8B" w:rsidP="00AB38CB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1. Síntese dos fatos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2C69A471" w14:textId="07726B6A" w:rsidR="00EA2F8B" w:rsidRPr="00C90D89" w:rsidRDefault="00EA2F8B" w:rsidP="00AB38CB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Do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ireito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4E8E1B1C" w14:textId="57B32E4C" w:rsidR="00AB38CB" w:rsidRPr="00C90D89" w:rsidRDefault="00AB38CB" w:rsidP="00AB38C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A) Preliminar: competência da Justiça Federal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6870E856" w14:textId="057C537A" w:rsidR="00AB38CB" w:rsidRPr="00C90D89" w:rsidRDefault="00AB38CB" w:rsidP="00AB38CB">
            <w:pPr>
              <w:pStyle w:val="NormalWeb"/>
              <w:spacing w:before="0" w:after="0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B) Mérito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6BD63ED7" w14:textId="2FE235BD" w:rsidR="00EA2F8B" w:rsidRPr="00C90D89" w:rsidRDefault="00EA2F8B" w:rsidP="00AB38CB">
            <w:pPr>
              <w:pStyle w:val="NormalWeb"/>
              <w:spacing w:before="0" w:after="0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2.1. Da pretensão declaratória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0BAFD3BB" w14:textId="77777777" w:rsidR="00AB38CB" w:rsidRPr="00C90D89" w:rsidRDefault="00EA2F8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2.1.1.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Primeira razão de invalidade da resolução normativa: inconstitucionalidade pela </w:t>
            </w:r>
          </w:p>
          <w:p w14:paraId="4987F1CF" w14:textId="113FB88E" w:rsidR="00EA2F8B" w:rsidRPr="00C90D89" w:rsidRDefault="00AB38C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afronta ao princípio da reserva de lei</w:t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008D792" w14:textId="77777777" w:rsidR="00AB38CB" w:rsidRPr="00C90D89" w:rsidRDefault="00EA2F8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2.1.2.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Segunda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inconstitucionalidade pela </w:t>
            </w:r>
          </w:p>
          <w:p w14:paraId="648AEFC3" w14:textId="60D36F9C" w:rsidR="00EA2F8B" w:rsidRPr="00C90D89" w:rsidRDefault="00AB38C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afronta </w:t>
            </w: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ao regime de bens públicos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48DDF8E9" w14:textId="77777777" w:rsidR="00AB38CB" w:rsidRPr="00C90D89" w:rsidRDefault="00EA2F8B" w:rsidP="00AB38CB">
            <w:pPr>
              <w:pStyle w:val="NormalWeb"/>
              <w:spacing w:before="0" w:after="0"/>
              <w:ind w:left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2.1.3.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Terceira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inconstitucionalidade pela </w:t>
            </w:r>
          </w:p>
          <w:p w14:paraId="0CD213D1" w14:textId="28113F2D" w:rsidR="00EA2F8B" w:rsidRPr="00C90D89" w:rsidRDefault="00AB38CB" w:rsidP="00AB38CB">
            <w:pPr>
              <w:pStyle w:val="NormalWeb"/>
              <w:spacing w:before="0" w:after="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afronta </w:t>
            </w: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à repartição de competências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6D3512C9" w14:textId="77777777" w:rsidR="00AB38CB" w:rsidRPr="00C90D89" w:rsidRDefault="00EA2F8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2.1.4.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Quarta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inconstitucionalidade pela </w:t>
            </w:r>
          </w:p>
          <w:p w14:paraId="724EF6BD" w14:textId="0B205A00" w:rsidR="00EA2F8B" w:rsidRPr="00C90D89" w:rsidRDefault="00AB38C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afronta </w:t>
            </w: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ao princípio da subsidiariedade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4E8089CA" w14:textId="77777777" w:rsidR="00AB38CB" w:rsidRPr="00C90D89" w:rsidRDefault="00EA2F8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2.1.5.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Quinta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ilegalidades frente à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5CAB3E" w14:textId="1943072C" w:rsidR="00EA2F8B" w:rsidRPr="00C90D89" w:rsidRDefault="00AB38C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Lei de Concessões e às obrigações contratuais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02249A8" w14:textId="5A672F05" w:rsidR="00EA2F8B" w:rsidRPr="00C90D89" w:rsidRDefault="00EA2F8B" w:rsidP="00AB38CB">
            <w:pPr>
              <w:pStyle w:val="NormalWeb"/>
              <w:spacing w:before="0" w:after="0"/>
              <w:ind w:left="284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2.2. Da pretensão mandamental</w:t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2E708D98" w14:textId="2E13343D" w:rsidR="00EA2F8B" w:rsidRPr="00C90D89" w:rsidRDefault="00EA2F8B" w:rsidP="00AB38CB">
            <w:pPr>
              <w:pStyle w:val="NormalWeb"/>
              <w:spacing w:before="0" w:after="0"/>
              <w:ind w:left="284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2.3. Da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antecipação de tutela</w:t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44E639F" w14:textId="5A028505" w:rsidR="00EA2F8B" w:rsidRPr="00C90D89" w:rsidRDefault="00EA2F8B" w:rsidP="00AB38CB">
            <w:pPr>
              <w:pStyle w:val="NormalWeb"/>
              <w:spacing w:before="0" w:after="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3. Da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>s conclusões e do pedido</w:t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E50923F" w14:textId="37373DDC" w:rsidR="00EA2F8B" w:rsidRPr="00C90D89" w:rsidRDefault="00AB38CB" w:rsidP="00AB38CB">
            <w:pPr>
              <w:pStyle w:val="NormalWeb"/>
              <w:spacing w:before="0" w:after="0"/>
              <w:ind w:right="72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3.1. Conclusões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407504E" w14:textId="6B14F557" w:rsidR="00EA2F8B" w:rsidRPr="00C90D89" w:rsidRDefault="00AB38CB" w:rsidP="00AB38CB">
            <w:pPr>
              <w:pStyle w:val="NormalWeb"/>
              <w:spacing w:before="0" w:after="0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. Pedido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</w:tc>
      </w:tr>
    </w:tbl>
    <w:p w14:paraId="6A1A33CB" w14:textId="77777777" w:rsidR="00EA2F8B" w:rsidRPr="00C90D89" w:rsidRDefault="00EA2F8B" w:rsidP="00977AEB">
      <w:pPr>
        <w:spacing w:line="360" w:lineRule="auto"/>
        <w:rPr>
          <w:rFonts w:ascii="Times New Roman" w:hAnsi="Times New Roman" w:cs="Times New Roman"/>
          <w:b/>
        </w:rPr>
      </w:pPr>
    </w:p>
    <w:p w14:paraId="0F4262FF" w14:textId="002EC755" w:rsidR="0069012E" w:rsidRPr="00C90D89" w:rsidRDefault="0069012E" w:rsidP="00977AEB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 xml:space="preserve">1. </w:t>
      </w:r>
      <w:r w:rsidR="004B7BAC" w:rsidRPr="00C90D89">
        <w:rPr>
          <w:rFonts w:ascii="Times New Roman" w:hAnsi="Times New Roman" w:cs="Times New Roman"/>
          <w:b/>
        </w:rPr>
        <w:t>Síntese do</w:t>
      </w:r>
      <w:r w:rsidR="002B2692" w:rsidRPr="00C90D89">
        <w:rPr>
          <w:rFonts w:ascii="Times New Roman" w:hAnsi="Times New Roman" w:cs="Times New Roman"/>
          <w:b/>
        </w:rPr>
        <w:t xml:space="preserve"> f</w:t>
      </w:r>
      <w:r w:rsidRPr="00C90D89">
        <w:rPr>
          <w:rFonts w:ascii="Times New Roman" w:hAnsi="Times New Roman" w:cs="Times New Roman"/>
          <w:b/>
        </w:rPr>
        <w:t>atos</w:t>
      </w:r>
    </w:p>
    <w:p w14:paraId="7C0A430E" w14:textId="77777777" w:rsidR="00533DFE" w:rsidRPr="00C90D89" w:rsidRDefault="00533DFE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131DB59A" w14:textId="21D41F35" w:rsidR="00FA117E" w:rsidRPr="00C90D89" w:rsidRDefault="00533DFE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>O autor é</w:t>
      </w:r>
      <w:r w:rsidR="00FA117E" w:rsidRPr="00C90D89">
        <w:rPr>
          <w:rFonts w:ascii="Times New Roman" w:hAnsi="Times New Roman" w:cs="Times New Roman"/>
          <w:bCs/>
        </w:rPr>
        <w:t xml:space="preserve"> um Município do Estado de </w:t>
      </w:r>
      <w:r w:rsidR="00FA117E" w:rsidRPr="00C90D89">
        <w:rPr>
          <w:rFonts w:ascii="Times New Roman" w:hAnsi="Times New Roman" w:cs="Times New Roman"/>
          <w:bCs/>
          <w:color w:val="FF0000"/>
        </w:rPr>
        <w:t>XXXXX</w:t>
      </w:r>
      <w:r w:rsidR="00FA117E" w:rsidRPr="00C90D89">
        <w:rPr>
          <w:rFonts w:ascii="Times New Roman" w:hAnsi="Times New Roman" w:cs="Times New Roman"/>
          <w:bCs/>
        </w:rPr>
        <w:t xml:space="preserve">, com área de </w:t>
      </w:r>
      <w:r w:rsidR="00FA117E" w:rsidRPr="00C90D89">
        <w:rPr>
          <w:rFonts w:ascii="Times New Roman" w:hAnsi="Times New Roman" w:cs="Times New Roman"/>
          <w:bCs/>
          <w:color w:val="FF0000"/>
        </w:rPr>
        <w:t>XX</w:t>
      </w:r>
      <w:r w:rsidR="00FA117E" w:rsidRPr="00C90D89">
        <w:rPr>
          <w:rFonts w:ascii="Times New Roman" w:hAnsi="Times New Roman" w:cs="Times New Roman"/>
          <w:bCs/>
        </w:rPr>
        <w:t xml:space="preserve"> quilômetros quadrados e com população estimada </w:t>
      </w:r>
      <w:r w:rsidR="007059D1">
        <w:rPr>
          <w:rFonts w:ascii="Times New Roman" w:hAnsi="Times New Roman" w:cs="Times New Roman"/>
          <w:bCs/>
        </w:rPr>
        <w:t>em</w:t>
      </w:r>
      <w:r w:rsidR="00FA117E" w:rsidRPr="00C90D89">
        <w:rPr>
          <w:rFonts w:ascii="Times New Roman" w:hAnsi="Times New Roman" w:cs="Times New Roman"/>
          <w:bCs/>
        </w:rPr>
        <w:t xml:space="preserve"> </w:t>
      </w:r>
      <w:r w:rsidR="00FA117E" w:rsidRPr="00C90D89">
        <w:rPr>
          <w:rFonts w:ascii="Times New Roman" w:hAnsi="Times New Roman" w:cs="Times New Roman"/>
          <w:bCs/>
          <w:color w:val="FF0000"/>
        </w:rPr>
        <w:t>XX</w:t>
      </w:r>
      <w:r w:rsidR="00FA117E" w:rsidRPr="00C90D89">
        <w:rPr>
          <w:rFonts w:ascii="Times New Roman" w:hAnsi="Times New Roman" w:cs="Times New Roman"/>
          <w:bCs/>
        </w:rPr>
        <w:t xml:space="preserve"> mil habitantes. Na área onde situado, o autor é atendido, por força de contrato de concessão federal</w:t>
      </w:r>
      <w:r w:rsidR="007059D1">
        <w:rPr>
          <w:rFonts w:ascii="Times New Roman" w:hAnsi="Times New Roman" w:cs="Times New Roman"/>
          <w:bCs/>
        </w:rPr>
        <w:t xml:space="preserve"> </w:t>
      </w:r>
      <w:r w:rsidR="007059D1" w:rsidRPr="00C90D89">
        <w:rPr>
          <w:rFonts w:ascii="Times New Roman" w:hAnsi="Times New Roman" w:cs="Times New Roman"/>
          <w:bCs/>
        </w:rPr>
        <w:t xml:space="preserve">(contrato de concessão, doc. </w:t>
      </w:r>
      <w:r w:rsidR="007059D1" w:rsidRPr="00C90D89">
        <w:rPr>
          <w:rFonts w:ascii="Times New Roman" w:hAnsi="Times New Roman" w:cs="Times New Roman"/>
          <w:bCs/>
          <w:color w:val="FF0000"/>
        </w:rPr>
        <w:t>XX</w:t>
      </w:r>
      <w:r w:rsidR="007059D1" w:rsidRPr="00C90D89">
        <w:rPr>
          <w:rFonts w:ascii="Times New Roman" w:hAnsi="Times New Roman" w:cs="Times New Roman"/>
          <w:bCs/>
        </w:rPr>
        <w:t>)</w:t>
      </w:r>
      <w:r w:rsidR="00FA117E" w:rsidRPr="00C90D89">
        <w:rPr>
          <w:rFonts w:ascii="Times New Roman" w:hAnsi="Times New Roman" w:cs="Times New Roman"/>
          <w:bCs/>
        </w:rPr>
        <w:t xml:space="preserve">, pela ré </w:t>
      </w:r>
      <w:r w:rsidR="00FA117E" w:rsidRPr="00C90D89">
        <w:rPr>
          <w:rFonts w:ascii="Times New Roman" w:hAnsi="Times New Roman" w:cs="Times New Roman"/>
          <w:bCs/>
          <w:color w:val="FF0000"/>
        </w:rPr>
        <w:t>XXXXX Distribuidora de Energia</w:t>
      </w:r>
      <w:r w:rsidR="00FA117E" w:rsidRPr="00C90D89">
        <w:rPr>
          <w:rFonts w:ascii="Times New Roman" w:hAnsi="Times New Roman" w:cs="Times New Roman"/>
          <w:bCs/>
        </w:rPr>
        <w:t xml:space="preserve">, a qual, desde </w:t>
      </w:r>
      <w:r w:rsidR="00FA117E" w:rsidRPr="00C90D89">
        <w:rPr>
          <w:rFonts w:ascii="Times New Roman" w:hAnsi="Times New Roman" w:cs="Times New Roman"/>
          <w:bCs/>
          <w:color w:val="FF0000"/>
        </w:rPr>
        <w:t>XXXX</w:t>
      </w:r>
      <w:r w:rsidR="00FA117E" w:rsidRPr="00C90D89">
        <w:rPr>
          <w:rFonts w:ascii="Times New Roman" w:hAnsi="Times New Roman" w:cs="Times New Roman"/>
          <w:bCs/>
        </w:rPr>
        <w:t xml:space="preserve">, presta, </w:t>
      </w:r>
      <w:r w:rsidR="00FA117E" w:rsidRPr="00C90D89">
        <w:rPr>
          <w:rFonts w:ascii="Times New Roman" w:hAnsi="Times New Roman" w:cs="Times New Roman"/>
          <w:bCs/>
          <w:color w:val="FF0000"/>
        </w:rPr>
        <w:t>em caráter exclusivo</w:t>
      </w:r>
      <w:r w:rsidR="00FA117E" w:rsidRPr="00C90D89">
        <w:rPr>
          <w:rFonts w:ascii="Times New Roman" w:hAnsi="Times New Roman" w:cs="Times New Roman"/>
          <w:bCs/>
        </w:rPr>
        <w:t xml:space="preserve">, o serviço de distribuição de energia elétrica ao autor e </w:t>
      </w:r>
      <w:r w:rsidR="00ED45E6" w:rsidRPr="00C90D89">
        <w:rPr>
          <w:rFonts w:ascii="Times New Roman" w:hAnsi="Times New Roman" w:cs="Times New Roman"/>
          <w:bCs/>
        </w:rPr>
        <w:t xml:space="preserve">a </w:t>
      </w:r>
      <w:r w:rsidR="00FA117E" w:rsidRPr="00C90D89">
        <w:rPr>
          <w:rFonts w:ascii="Times New Roman" w:hAnsi="Times New Roman" w:cs="Times New Roman"/>
          <w:bCs/>
        </w:rPr>
        <w:t>seus munícipes, aqui incluindo o serviço de iluminação pública.</w:t>
      </w:r>
    </w:p>
    <w:p w14:paraId="41C5B27A" w14:textId="77777777" w:rsidR="00FA117E" w:rsidRPr="00C90D89" w:rsidRDefault="00FA117E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F6376E3" w14:textId="236854C2" w:rsidR="00A42E86" w:rsidRPr="00C90D89" w:rsidRDefault="00EC070A" w:rsidP="00A42E8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>E</w:t>
      </w:r>
      <w:r w:rsidR="00A42E86" w:rsidRPr="00C90D89">
        <w:rPr>
          <w:rFonts w:ascii="Times New Roman" w:hAnsi="Times New Roman" w:cs="Times New Roman"/>
          <w:bCs/>
        </w:rPr>
        <w:t>sse serviço de iluminação pública vinha sendo prestad</w:t>
      </w:r>
      <w:r w:rsidRPr="00C90D89">
        <w:rPr>
          <w:rFonts w:ascii="Times New Roman" w:hAnsi="Times New Roman" w:cs="Times New Roman"/>
          <w:bCs/>
        </w:rPr>
        <w:t>o</w:t>
      </w:r>
      <w:r w:rsidR="00A42E86" w:rsidRPr="00C90D89">
        <w:rPr>
          <w:rFonts w:ascii="Times New Roman" w:hAnsi="Times New Roman" w:cs="Times New Roman"/>
          <w:bCs/>
        </w:rPr>
        <w:t xml:space="preserve">, sem </w:t>
      </w:r>
      <w:r w:rsidR="009D1FAD" w:rsidRPr="00C90D89">
        <w:rPr>
          <w:rFonts w:ascii="Times New Roman" w:hAnsi="Times New Roman" w:cs="Times New Roman"/>
          <w:bCs/>
        </w:rPr>
        <w:t>qualquer controvérsia sobre a sua responsabilidade</w:t>
      </w:r>
      <w:r w:rsidR="00A42E86" w:rsidRPr="00C90D89">
        <w:rPr>
          <w:rFonts w:ascii="Times New Roman" w:hAnsi="Times New Roman" w:cs="Times New Roman"/>
          <w:bCs/>
        </w:rPr>
        <w:t xml:space="preserve">, até ser operada uma mudança regulamentar pela segunda ré, a ANEEL – Agência Nacional de Energia Elétrica. Como </w:t>
      </w:r>
      <w:r w:rsidR="007059D1">
        <w:rPr>
          <w:rFonts w:ascii="Times New Roman" w:hAnsi="Times New Roman" w:cs="Times New Roman"/>
          <w:bCs/>
        </w:rPr>
        <w:t>é</w:t>
      </w:r>
      <w:r w:rsidR="00A42E86" w:rsidRPr="00C90D89">
        <w:rPr>
          <w:rFonts w:ascii="Times New Roman" w:hAnsi="Times New Roman" w:cs="Times New Roman"/>
          <w:bCs/>
        </w:rPr>
        <w:t xml:space="preserve"> de conhecimento público, após </w:t>
      </w:r>
      <w:r w:rsidR="00A42E86" w:rsidRPr="00C90D89">
        <w:rPr>
          <w:rFonts w:ascii="Times New Roman" w:hAnsi="Times New Roman" w:cs="Times New Roman"/>
          <w:lang w:eastAsia="pt-BR"/>
        </w:rPr>
        <w:t>instaura</w:t>
      </w:r>
      <w:r w:rsidR="007059D1">
        <w:rPr>
          <w:rFonts w:ascii="Times New Roman" w:hAnsi="Times New Roman" w:cs="Times New Roman"/>
          <w:lang w:eastAsia="pt-BR"/>
        </w:rPr>
        <w:t>ção</w:t>
      </w:r>
      <w:r w:rsidR="00A42E86" w:rsidRPr="00C90D89">
        <w:rPr>
          <w:rFonts w:ascii="Times New Roman" w:hAnsi="Times New Roman" w:cs="Times New Roman"/>
          <w:lang w:eastAsia="pt-BR"/>
        </w:rPr>
        <w:t xml:space="preserve"> de processo interno na referida agência</w:t>
      </w:r>
      <w:r w:rsidR="009D1FAD" w:rsidRPr="00C90D89">
        <w:rPr>
          <w:rFonts w:ascii="Times New Roman" w:hAnsi="Times New Roman" w:cs="Times New Roman"/>
          <w:lang w:eastAsia="pt-BR"/>
        </w:rPr>
        <w:t xml:space="preserve"> (</w:t>
      </w:r>
      <w:r w:rsidR="009D1FAD" w:rsidRPr="00C90D89">
        <w:rPr>
          <w:rFonts w:ascii="Times New Roman" w:hAnsi="Times New Roman" w:cs="Times New Roman"/>
        </w:rPr>
        <w:t>processo n. 48500.002402/2007-19)</w:t>
      </w:r>
      <w:r w:rsidR="00A42E86" w:rsidRPr="00C90D89">
        <w:rPr>
          <w:rFonts w:ascii="Times New Roman" w:hAnsi="Times New Roman" w:cs="Times New Roman"/>
          <w:lang w:eastAsia="pt-BR"/>
        </w:rPr>
        <w:t xml:space="preserve">, </w:t>
      </w:r>
      <w:r w:rsidR="00EE606B" w:rsidRPr="00C90D89">
        <w:rPr>
          <w:rFonts w:ascii="Times New Roman" w:hAnsi="Times New Roman" w:cs="Times New Roman"/>
          <w:lang w:eastAsia="pt-BR"/>
        </w:rPr>
        <w:t xml:space="preserve">a pedido </w:t>
      </w:r>
      <w:r w:rsidR="00A42E86" w:rsidRPr="00C90D89">
        <w:rPr>
          <w:rFonts w:ascii="Times New Roman" w:hAnsi="Times New Roman" w:cs="Times New Roman"/>
          <w:lang w:eastAsia="pt-BR"/>
        </w:rPr>
        <w:t>das concessionárias de energia elétrica, a agência houve por revisar</w:t>
      </w:r>
      <w:r w:rsidR="009D1FAD" w:rsidRPr="00C90D89">
        <w:rPr>
          <w:rFonts w:ascii="Times New Roman" w:hAnsi="Times New Roman" w:cs="Times New Roman"/>
          <w:lang w:eastAsia="pt-BR"/>
        </w:rPr>
        <w:t xml:space="preserve"> as “condições gerais de fornecimento de energia elétrica”, culminando o referido processo </w:t>
      </w:r>
      <w:r w:rsidR="00EE606B" w:rsidRPr="00C90D89">
        <w:rPr>
          <w:rFonts w:ascii="Times New Roman" w:hAnsi="Times New Roman" w:cs="Times New Roman"/>
          <w:lang w:eastAsia="pt-BR"/>
        </w:rPr>
        <w:t>n</w:t>
      </w:r>
      <w:r w:rsidR="009D1FAD" w:rsidRPr="00C90D89">
        <w:rPr>
          <w:rFonts w:ascii="Times New Roman" w:hAnsi="Times New Roman" w:cs="Times New Roman"/>
          <w:lang w:eastAsia="pt-BR"/>
        </w:rPr>
        <w:t xml:space="preserve">a edição da Resolução Normativa n. 414, em 09 de setembro de 2010. </w:t>
      </w:r>
      <w:r w:rsidR="00A42E86" w:rsidRPr="00C90D89">
        <w:rPr>
          <w:rFonts w:ascii="Times New Roman" w:hAnsi="Times New Roman" w:cs="Times New Roman"/>
          <w:lang w:eastAsia="pt-BR"/>
        </w:rPr>
        <w:t xml:space="preserve"> </w:t>
      </w:r>
    </w:p>
    <w:p w14:paraId="1A421ED0" w14:textId="5BB7D354" w:rsidR="00EA5254" w:rsidRPr="00C90D89" w:rsidRDefault="00EA5254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1823868E" w14:textId="2E0C1115" w:rsidR="00ED45E6" w:rsidRPr="00C90D89" w:rsidRDefault="00EE606B" w:rsidP="004033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Tal </w:t>
      </w:r>
      <w:r w:rsidR="00DE5E85" w:rsidRPr="00C90D89">
        <w:rPr>
          <w:rFonts w:ascii="Times New Roman" w:hAnsi="Times New Roman" w:cs="Times New Roman"/>
        </w:rPr>
        <w:t xml:space="preserve">resolução normativa, em </w:t>
      </w:r>
      <w:r w:rsidRPr="00C90D89">
        <w:rPr>
          <w:rFonts w:ascii="Times New Roman" w:hAnsi="Times New Roman" w:cs="Times New Roman"/>
        </w:rPr>
        <w:t xml:space="preserve">um dos </w:t>
      </w:r>
      <w:r w:rsidR="00DE5E85" w:rsidRPr="00C90D89">
        <w:rPr>
          <w:rFonts w:ascii="Times New Roman" w:hAnsi="Times New Roman" w:cs="Times New Roman"/>
        </w:rPr>
        <w:t>ponto</w:t>
      </w:r>
      <w:r w:rsidRPr="00C90D89">
        <w:rPr>
          <w:rFonts w:ascii="Times New Roman" w:hAnsi="Times New Roman" w:cs="Times New Roman"/>
        </w:rPr>
        <w:t>s</w:t>
      </w:r>
      <w:r w:rsidR="00DE5E85" w:rsidRPr="00C90D89">
        <w:rPr>
          <w:rFonts w:ascii="Times New Roman" w:hAnsi="Times New Roman" w:cs="Times New Roman"/>
        </w:rPr>
        <w:t xml:space="preserve"> que modificou as condições anteriores do fornecimento, </w:t>
      </w:r>
      <w:r w:rsidR="007059D1">
        <w:rPr>
          <w:rFonts w:ascii="Times New Roman" w:hAnsi="Times New Roman" w:cs="Times New Roman"/>
        </w:rPr>
        <w:t xml:space="preserve">determina a </w:t>
      </w:r>
      <w:r w:rsidR="00DE5E85" w:rsidRPr="00C90D89">
        <w:rPr>
          <w:rFonts w:ascii="Times New Roman" w:hAnsi="Times New Roman" w:cs="Times New Roman"/>
        </w:rPr>
        <w:t>transfer</w:t>
      </w:r>
      <w:r w:rsidR="007059D1">
        <w:rPr>
          <w:rFonts w:ascii="Times New Roman" w:hAnsi="Times New Roman" w:cs="Times New Roman"/>
        </w:rPr>
        <w:t>ência</w:t>
      </w:r>
      <w:r w:rsidR="00DE5E85" w:rsidRPr="00C90D89">
        <w:rPr>
          <w:rFonts w:ascii="Times New Roman" w:hAnsi="Times New Roman" w:cs="Times New Roman"/>
        </w:rPr>
        <w:t xml:space="preserve"> </w:t>
      </w:r>
      <w:r w:rsidR="007059D1">
        <w:rPr>
          <w:rFonts w:ascii="Times New Roman" w:hAnsi="Times New Roman" w:cs="Times New Roman"/>
        </w:rPr>
        <w:t xml:space="preserve">do </w:t>
      </w:r>
      <w:r w:rsidR="00DE5E85" w:rsidRPr="00C90D89">
        <w:rPr>
          <w:rFonts w:ascii="Times New Roman" w:hAnsi="Times New Roman" w:cs="Times New Roman"/>
        </w:rPr>
        <w:t>sistema de iluminação pública registrado como Ativo Imobilizado em Serviço (AIS)</w:t>
      </w:r>
      <w:r w:rsidR="007059D1">
        <w:rPr>
          <w:rFonts w:ascii="Times New Roman" w:hAnsi="Times New Roman" w:cs="Times New Roman"/>
        </w:rPr>
        <w:t>, antes de responsabilidade das concessionárias,</w:t>
      </w:r>
      <w:r w:rsidR="007059D1" w:rsidRPr="007059D1">
        <w:rPr>
          <w:rFonts w:ascii="Times New Roman" w:hAnsi="Times New Roman" w:cs="Times New Roman"/>
        </w:rPr>
        <w:t xml:space="preserve"> </w:t>
      </w:r>
      <w:r w:rsidR="007059D1">
        <w:rPr>
          <w:rFonts w:ascii="Times New Roman" w:hAnsi="Times New Roman" w:cs="Times New Roman"/>
        </w:rPr>
        <w:t>para</w:t>
      </w:r>
      <w:r w:rsidR="007059D1" w:rsidRPr="00C90D89">
        <w:rPr>
          <w:rFonts w:ascii="Times New Roman" w:hAnsi="Times New Roman" w:cs="Times New Roman"/>
        </w:rPr>
        <w:t xml:space="preserve"> </w:t>
      </w:r>
      <w:r w:rsidR="007059D1">
        <w:rPr>
          <w:rFonts w:ascii="Times New Roman" w:hAnsi="Times New Roman" w:cs="Times New Roman"/>
        </w:rPr>
        <w:t xml:space="preserve">os </w:t>
      </w:r>
      <w:r w:rsidR="007059D1" w:rsidRPr="00C90D89">
        <w:rPr>
          <w:rFonts w:ascii="Times New Roman" w:hAnsi="Times New Roman" w:cs="Times New Roman"/>
        </w:rPr>
        <w:t>municípios</w:t>
      </w:r>
      <w:r w:rsidR="00ED45E6" w:rsidRPr="00C90D89">
        <w:rPr>
          <w:rFonts w:ascii="Times New Roman" w:hAnsi="Times New Roman" w:cs="Times New Roman"/>
        </w:rPr>
        <w:t xml:space="preserve">. </w:t>
      </w:r>
      <w:r w:rsidRPr="00C90D89">
        <w:rPr>
          <w:rFonts w:ascii="Times New Roman" w:hAnsi="Times New Roman" w:cs="Times New Roman"/>
        </w:rPr>
        <w:t>A</w:t>
      </w:r>
      <w:r w:rsidR="00ED45E6" w:rsidRPr="00C90D89">
        <w:rPr>
          <w:rFonts w:ascii="Times New Roman" w:hAnsi="Times New Roman" w:cs="Times New Roman"/>
        </w:rPr>
        <w:t xml:space="preserve"> transferência d</w:t>
      </w:r>
      <w:r w:rsidRPr="00C90D89">
        <w:rPr>
          <w:rFonts w:ascii="Times New Roman" w:hAnsi="Times New Roman" w:cs="Times New Roman"/>
        </w:rPr>
        <w:t>es</w:t>
      </w:r>
      <w:r w:rsidR="00ED45E6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>es</w:t>
      </w:r>
      <w:r w:rsidR="00ED45E6" w:rsidRPr="00C90D89">
        <w:rPr>
          <w:rFonts w:ascii="Times New Roman" w:hAnsi="Times New Roman" w:cs="Times New Roman"/>
        </w:rPr>
        <w:t xml:space="preserve"> ativos </w:t>
      </w:r>
      <w:r w:rsidRPr="00C90D89">
        <w:rPr>
          <w:rFonts w:ascii="Times New Roman" w:hAnsi="Times New Roman" w:cs="Times New Roman"/>
        </w:rPr>
        <w:t xml:space="preserve">– fala-se aqui das lâmpadas, luminárias, reatores, bulbos, braços e </w:t>
      </w:r>
      <w:r w:rsidR="008F2644" w:rsidRPr="00C90D89">
        <w:rPr>
          <w:rFonts w:ascii="Times New Roman" w:hAnsi="Times New Roman" w:cs="Times New Roman"/>
        </w:rPr>
        <w:t>d</w:t>
      </w:r>
      <w:r w:rsidRPr="00C90D89">
        <w:rPr>
          <w:rFonts w:ascii="Times New Roman" w:hAnsi="Times New Roman" w:cs="Times New Roman"/>
        </w:rPr>
        <w:t xml:space="preserve">aqueles postes destinados unicamente à iluminação pública – </w:t>
      </w:r>
      <w:r w:rsidR="00ED45E6" w:rsidRPr="00C90D89">
        <w:rPr>
          <w:rFonts w:ascii="Times New Roman" w:hAnsi="Times New Roman" w:cs="Times New Roman"/>
        </w:rPr>
        <w:t xml:space="preserve">viu-se disposta no art. 218 da norma regulamentar, </w:t>
      </w:r>
      <w:r w:rsidRPr="00C90D89">
        <w:rPr>
          <w:rFonts w:ascii="Times New Roman" w:hAnsi="Times New Roman" w:cs="Times New Roman"/>
        </w:rPr>
        <w:t>o qual a</w:t>
      </w:r>
      <w:r w:rsidR="00C24FCB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 xml:space="preserve"> posterior</w:t>
      </w:r>
      <w:r w:rsidR="00C24FCB" w:rsidRPr="00C90D89">
        <w:rPr>
          <w:rFonts w:ascii="Times New Roman" w:hAnsi="Times New Roman" w:cs="Times New Roman"/>
        </w:rPr>
        <w:t>es</w:t>
      </w:r>
      <w:r w:rsidRPr="00C90D89">
        <w:rPr>
          <w:rFonts w:ascii="Times New Roman" w:hAnsi="Times New Roman" w:cs="Times New Roman"/>
        </w:rPr>
        <w:t xml:space="preserve"> Resoluç</w:t>
      </w:r>
      <w:r w:rsidR="00C24FCB" w:rsidRPr="00C90D89">
        <w:rPr>
          <w:rFonts w:ascii="Times New Roman" w:hAnsi="Times New Roman" w:cs="Times New Roman"/>
        </w:rPr>
        <w:t>ões</w:t>
      </w:r>
      <w:r w:rsidRPr="00C90D89">
        <w:rPr>
          <w:rFonts w:ascii="Times New Roman" w:hAnsi="Times New Roman" w:cs="Times New Roman"/>
        </w:rPr>
        <w:t xml:space="preserve"> Normativa</w:t>
      </w:r>
      <w:r w:rsidR="00C24FCB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 xml:space="preserve"> n. 479/2012 </w:t>
      </w:r>
      <w:r w:rsidR="00C24FCB" w:rsidRPr="00C90D89">
        <w:rPr>
          <w:rFonts w:ascii="Times New Roman" w:hAnsi="Times New Roman" w:cs="Times New Roman"/>
        </w:rPr>
        <w:t xml:space="preserve">e 587/2013 </w:t>
      </w:r>
      <w:r w:rsidRPr="00C90D89">
        <w:rPr>
          <w:rFonts w:ascii="Times New Roman" w:hAnsi="Times New Roman" w:cs="Times New Roman"/>
        </w:rPr>
        <w:t>alter</w:t>
      </w:r>
      <w:r w:rsidR="00C24FCB" w:rsidRPr="00C90D89">
        <w:rPr>
          <w:rFonts w:ascii="Times New Roman" w:hAnsi="Times New Roman" w:cs="Times New Roman"/>
        </w:rPr>
        <w:t>aram</w:t>
      </w:r>
      <w:r w:rsidRPr="00C90D89">
        <w:rPr>
          <w:rFonts w:ascii="Times New Roman" w:hAnsi="Times New Roman" w:cs="Times New Roman"/>
        </w:rPr>
        <w:t xml:space="preserve"> para </w:t>
      </w:r>
      <w:r w:rsidR="00C24FCB" w:rsidRPr="00C90D89">
        <w:rPr>
          <w:rFonts w:ascii="Times New Roman" w:hAnsi="Times New Roman" w:cs="Times New Roman"/>
        </w:rPr>
        <w:t xml:space="preserve">lhe </w:t>
      </w:r>
      <w:r w:rsidRPr="00C90D89">
        <w:rPr>
          <w:rFonts w:ascii="Times New Roman" w:hAnsi="Times New Roman" w:cs="Times New Roman"/>
        </w:rPr>
        <w:t xml:space="preserve">conferir a seguinte redação final: </w:t>
      </w:r>
    </w:p>
    <w:p w14:paraId="21827E6F" w14:textId="77777777" w:rsidR="00EE606B" w:rsidRPr="00C90D89" w:rsidRDefault="00EE606B" w:rsidP="004033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1A3E6F9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218. A distribuidora deve transferir o sistema de iluminação pública registrado como Ativo Imobilizado em Serviço – AIS à pessoa jurídica de direito público competente.</w:t>
      </w:r>
    </w:p>
    <w:p w14:paraId="67E0CC00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§ 1º A transferência à pessoa jurídica de direito público competente deve ser realizada sem ônus, observados os procedimentos técnicos e contábeis para a transferência estabelecidos em resolução específica. </w:t>
      </w:r>
    </w:p>
    <w:p w14:paraId="35FF0B45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2º Até que as instalações de iluminação pública sejam transferidas, devem ser observadas as seguintes condições:</w:t>
      </w:r>
    </w:p>
    <w:p w14:paraId="146025CB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 - o ponto de entrega se situará no bulbo da lâmpada; </w:t>
      </w:r>
    </w:p>
    <w:p w14:paraId="47969A69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II – a distribuidora é responsável apenas pela execução e custeio dos serviços de operação e manutenção; e </w:t>
      </w:r>
    </w:p>
    <w:p w14:paraId="275C464A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III - a tarifa aplicável ao fornecimento de energia elétrica para iluminação pública é a tarifa B4b. </w:t>
      </w:r>
    </w:p>
    <w:p w14:paraId="6BEF3056" w14:textId="1A015672" w:rsidR="00EE606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§3º A distribuidora deve atender às solicitações da pessoa jurídica de direito público competente quanto ao estabelecimento de cronograma para transferência dos ativos, desde que observado o prazo limite de 31 de dezembro de 2014.</w:t>
      </w:r>
    </w:p>
    <w:p w14:paraId="30937964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§ 4º Salvo hipótese prevista no § 3º, a distribuidora deve observar os seguintes prazos máximos: </w:t>
      </w:r>
    </w:p>
    <w:p w14:paraId="24A4CE2B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I – até 14 de março de 2011: elaboração de plano de repasse às pessoas jurídicas de direito público competente dos ativos referidos no caput e das minutas dos aditivos aos respectivos contratos de fornecimento de energia elétrica em vigor;</w:t>
      </w:r>
    </w:p>
    <w:p w14:paraId="6C4C5C42" w14:textId="6AE17029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I – até 1º de julho de 2012: encaminhamento da proposta da distribuidora à pessoa jurídica de direito público competente, com as respectivas minutas dos termos contratuais a serem firmados e com relatório detalhando o AIS, por município, e apresentando, se for o caso, o relatório que demonstre e comprove a constituição desses ativos com os Recursos Vinculados à Obrigações Vinculadas ao Serviço Público (Obrigações Especiais);</w:t>
      </w:r>
    </w:p>
    <w:p w14:paraId="649E2090" w14:textId="3071CE66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III – até 1º de março de 2013: encaminhamento à ANEEL do relatório conclusivo do resultado das negociações, por município, e o seu cronograma de implementação; </w:t>
      </w:r>
    </w:p>
    <w:p w14:paraId="21541413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IV – até 1º de agosto de 2014: encaminhamento à ANEEL do relatório de acompanhamento da transferência de ativos, objeto das negociações, por município; </w:t>
      </w:r>
    </w:p>
    <w:p w14:paraId="3192D5A0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V – 31 de dezembro de 2014: conclusão da transferência dos ativos; e</w:t>
      </w:r>
    </w:p>
    <w:p w14:paraId="2A91BA62" w14:textId="59BBA459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VI – até 1º de março de 2015: encaminhamento à ANEEL do relatório final de transferência dos ativos, por município. </w:t>
      </w:r>
    </w:p>
    <w:p w14:paraId="33A803B0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5º A partir da transferência dos ativos ou do vencimento do prazo definido no inciso V do § 4º, em cada município, aplica-se integralmente o disposto na Seção X do Capítulo II, não ensejando quaisquer pleitos compensatórios relacionados ao equilíbrio econômico-financeiro, sem prejuízo das sanções cabíveis caso a transferência não tenha se realizado por motivos de responsabilidade da distribuidora.</w:t>
      </w:r>
    </w:p>
    <w:p w14:paraId="4FA258B8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6º A distribuidora deve encaminhar a ANEEL, como parte da solicitação de anuência de transferência dos ativos de iluminação pública, por município, o termo de responsabilidade em que declara que o sistema de iluminação pública está em condições de operação e em conformidade com as normas e padrões disponibilizados pela distribuidora e pelos órgãos oficiais competentes, observado também o disposto no Contrato de Fornecimento de Energia Elétrica acordado entre a distribuidora e o Poder Público Municipal, conforme Anexo da Resolução Normativa nº 587, de 10 de dezembro de 2013.</w:t>
      </w:r>
    </w:p>
    <w:p w14:paraId="406ECC83" w14:textId="55517F4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7º A distribuidora deve atender às solicitações da pessoa jurídica de direito público competente acerca da entrega dos dados sobre o sistema de iluminação pública.</w:t>
      </w:r>
    </w:p>
    <w:p w14:paraId="521E33F9" w14:textId="77777777" w:rsidR="00EE606B" w:rsidRPr="00C90D89" w:rsidRDefault="00EE606B" w:rsidP="004033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6CC7DF" w14:textId="2B12CB1B" w:rsidR="0086521E" w:rsidRPr="00C90D89" w:rsidRDefault="0086521E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Conforme se pode notar, o dispositivo em questão </w:t>
      </w:r>
      <w:r w:rsidR="00E54A2D" w:rsidRPr="00C90D89">
        <w:rPr>
          <w:rFonts w:ascii="Times New Roman" w:hAnsi="Times New Roman" w:cs="Times New Roman"/>
        </w:rPr>
        <w:t>estabeleceu essa transferência de ativos na forma de uma obrigação, a ser obedecida, de um lado, pela concessionária (</w:t>
      </w:r>
      <w:r w:rsidR="003F3A0D">
        <w:rPr>
          <w:rFonts w:ascii="Times New Roman" w:hAnsi="Times New Roman" w:cs="Times New Roman"/>
        </w:rPr>
        <w:t>obrigação de</w:t>
      </w:r>
      <w:r w:rsidR="00E54A2D" w:rsidRPr="00C90D89">
        <w:rPr>
          <w:rFonts w:ascii="Times New Roman" w:hAnsi="Times New Roman" w:cs="Times New Roman"/>
        </w:rPr>
        <w:t xml:space="preserve"> transferir) e, de outro, pelos municípios (</w:t>
      </w:r>
      <w:r w:rsidR="003F3A0D">
        <w:rPr>
          <w:rFonts w:ascii="Times New Roman" w:hAnsi="Times New Roman" w:cs="Times New Roman"/>
        </w:rPr>
        <w:t xml:space="preserve">obrigação de </w:t>
      </w:r>
      <w:r w:rsidR="00E54A2D" w:rsidRPr="00C90D89">
        <w:rPr>
          <w:rFonts w:ascii="Times New Roman" w:hAnsi="Times New Roman" w:cs="Times New Roman"/>
        </w:rPr>
        <w:t>receber</w:t>
      </w:r>
      <w:r w:rsidR="003F3A0D">
        <w:rPr>
          <w:rFonts w:ascii="Times New Roman" w:hAnsi="Times New Roman" w:cs="Times New Roman"/>
        </w:rPr>
        <w:t xml:space="preserve"> em transferência</w:t>
      </w:r>
      <w:r w:rsidR="00E54A2D" w:rsidRPr="00C90D89">
        <w:rPr>
          <w:rFonts w:ascii="Times New Roman" w:hAnsi="Times New Roman" w:cs="Times New Roman"/>
        </w:rPr>
        <w:t>).</w:t>
      </w:r>
      <w:r w:rsidR="00CD6792" w:rsidRPr="00C90D89">
        <w:rPr>
          <w:rFonts w:ascii="Times New Roman" w:hAnsi="Times New Roman" w:cs="Times New Roman"/>
        </w:rPr>
        <w:t xml:space="preserve"> Não obstante a obrigação seja de ambas, </w:t>
      </w:r>
      <w:r w:rsidR="003F3A0D">
        <w:rPr>
          <w:rFonts w:ascii="Times New Roman" w:hAnsi="Times New Roman" w:cs="Times New Roman"/>
        </w:rPr>
        <w:t xml:space="preserve">note-se que, </w:t>
      </w:r>
      <w:r w:rsidR="00CD6792" w:rsidRPr="00C90D89">
        <w:rPr>
          <w:rFonts w:ascii="Times New Roman" w:hAnsi="Times New Roman" w:cs="Times New Roman"/>
        </w:rPr>
        <w:t xml:space="preserve">enquanto para </w:t>
      </w:r>
      <w:r w:rsidR="003F3A0D">
        <w:rPr>
          <w:rFonts w:ascii="Times New Roman" w:hAnsi="Times New Roman" w:cs="Times New Roman"/>
        </w:rPr>
        <w:t>as distribuidoras</w:t>
      </w:r>
      <w:r w:rsidR="00CD6792" w:rsidRPr="00C90D89">
        <w:rPr>
          <w:rFonts w:ascii="Times New Roman" w:hAnsi="Times New Roman" w:cs="Times New Roman"/>
        </w:rPr>
        <w:t xml:space="preserve"> houve uma desoneração de um serviço, para </w:t>
      </w:r>
      <w:r w:rsidR="003F3A0D">
        <w:rPr>
          <w:rFonts w:ascii="Times New Roman" w:hAnsi="Times New Roman" w:cs="Times New Roman"/>
        </w:rPr>
        <w:t>os Municípios</w:t>
      </w:r>
      <w:r w:rsidR="00CD6792" w:rsidRPr="00C90D89">
        <w:rPr>
          <w:rFonts w:ascii="Times New Roman" w:hAnsi="Times New Roman" w:cs="Times New Roman"/>
        </w:rPr>
        <w:t xml:space="preserve"> houve o oposto, a criação de um ônus – ônus não contra</w:t>
      </w:r>
      <w:r w:rsidR="003F3A0D">
        <w:rPr>
          <w:rFonts w:ascii="Times New Roman" w:hAnsi="Times New Roman" w:cs="Times New Roman"/>
        </w:rPr>
        <w:t>tad</w:t>
      </w:r>
      <w:r w:rsidR="00CD6792" w:rsidRPr="00C90D89">
        <w:rPr>
          <w:rFonts w:ascii="Times New Roman" w:hAnsi="Times New Roman" w:cs="Times New Roman"/>
        </w:rPr>
        <w:t xml:space="preserve">o </w:t>
      </w:r>
      <w:r w:rsidR="003F3A0D">
        <w:rPr>
          <w:rFonts w:ascii="Times New Roman" w:hAnsi="Times New Roman" w:cs="Times New Roman"/>
        </w:rPr>
        <w:t xml:space="preserve">pelo Município autor </w:t>
      </w:r>
      <w:r w:rsidR="00CD6792" w:rsidRPr="00C90D89">
        <w:rPr>
          <w:rFonts w:ascii="Times New Roman" w:hAnsi="Times New Roman" w:cs="Times New Roman"/>
        </w:rPr>
        <w:t>e</w:t>
      </w:r>
      <w:r w:rsidR="003F3A0D">
        <w:rPr>
          <w:rFonts w:ascii="Times New Roman" w:hAnsi="Times New Roman" w:cs="Times New Roman"/>
        </w:rPr>
        <w:t xml:space="preserve"> que</w:t>
      </w:r>
      <w:r w:rsidR="00CD6792" w:rsidRPr="00C90D89">
        <w:rPr>
          <w:rFonts w:ascii="Times New Roman" w:hAnsi="Times New Roman" w:cs="Times New Roman"/>
        </w:rPr>
        <w:t xml:space="preserve">, como adiante se virá, exacerba </w:t>
      </w:r>
      <w:r w:rsidR="003F3A0D">
        <w:rPr>
          <w:rFonts w:ascii="Times New Roman" w:hAnsi="Times New Roman" w:cs="Times New Roman"/>
        </w:rPr>
        <w:t xml:space="preserve">diversos </w:t>
      </w:r>
      <w:r w:rsidR="00CD6792" w:rsidRPr="00C90D89">
        <w:rPr>
          <w:rFonts w:ascii="Times New Roman" w:hAnsi="Times New Roman" w:cs="Times New Roman"/>
        </w:rPr>
        <w:t xml:space="preserve">contornos </w:t>
      </w:r>
      <w:r w:rsidR="003F3A0D">
        <w:rPr>
          <w:rFonts w:ascii="Times New Roman" w:hAnsi="Times New Roman" w:cs="Times New Roman"/>
        </w:rPr>
        <w:t>normativos</w:t>
      </w:r>
      <w:r w:rsidR="00CD6792" w:rsidRPr="00C90D89">
        <w:rPr>
          <w:rFonts w:ascii="Times New Roman" w:hAnsi="Times New Roman" w:cs="Times New Roman"/>
        </w:rPr>
        <w:t>.</w:t>
      </w:r>
    </w:p>
    <w:p w14:paraId="017C117F" w14:textId="77777777" w:rsidR="0086521E" w:rsidRPr="00C90D89" w:rsidRDefault="0086521E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61A5ECD" w14:textId="77777777" w:rsidR="00E54A2D" w:rsidRPr="00C90D89" w:rsidRDefault="00E54A2D" w:rsidP="00E54A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transferência de ativos deve ser lida acompanhada de outro dispositivo da referida resolução, que se lhe pode dizer complementar. Trata-se do art. 21, que dispõe, </w:t>
      </w:r>
      <w:r w:rsidRPr="00C90D89">
        <w:rPr>
          <w:rFonts w:ascii="Times New Roman" w:hAnsi="Times New Roman" w:cs="Times New Roman"/>
          <w:i/>
        </w:rPr>
        <w:t xml:space="preserve">in </w:t>
      </w:r>
      <w:proofErr w:type="spellStart"/>
      <w:r w:rsidRPr="00C90D89">
        <w:rPr>
          <w:rFonts w:ascii="Times New Roman" w:hAnsi="Times New Roman" w:cs="Times New Roman"/>
          <w:i/>
        </w:rPr>
        <w:t>verbis</w:t>
      </w:r>
      <w:proofErr w:type="spellEnd"/>
      <w:r w:rsidRPr="00C90D89">
        <w:rPr>
          <w:rFonts w:ascii="Times New Roman" w:hAnsi="Times New Roman" w:cs="Times New Roman"/>
        </w:rPr>
        <w:t>:</w:t>
      </w:r>
    </w:p>
    <w:p w14:paraId="342C451D" w14:textId="4AE86ACD" w:rsidR="00AD0548" w:rsidRPr="00C90D89" w:rsidRDefault="00AD0548" w:rsidP="00E54A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C90D89">
        <w:rPr>
          <w:rFonts w:ascii="Times New Roman" w:hAnsi="Times New Roman" w:cs="Times New Roman"/>
          <w:color w:val="FF0000"/>
        </w:rPr>
        <w:t xml:space="preserve"> </w:t>
      </w:r>
    </w:p>
    <w:p w14:paraId="21642D46" w14:textId="77777777" w:rsidR="00AD0548" w:rsidRPr="00C90D89" w:rsidRDefault="00AD0548" w:rsidP="00E54A2D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21. A elaboração de projeto, a implantação, expansão, operação e manutenção das instalações de iluminação pública são de responsabilidade do ente municipal ou de quem tenha recebido deste a delegação para prestar tais serviços.</w:t>
      </w:r>
    </w:p>
    <w:p w14:paraId="1B2991B3" w14:textId="77777777" w:rsidR="00AD0548" w:rsidRPr="00C90D89" w:rsidRDefault="00AD0548" w:rsidP="00E54A2D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§1º A distribuidora pode prestar os serviços descritos no caput mediante celebração de contrato específico para tal fim, ficando a pessoa jurídica de direito público responsável pelas despesas decorrentes.</w:t>
      </w:r>
    </w:p>
    <w:p w14:paraId="24C74D81" w14:textId="77777777" w:rsidR="00AD0548" w:rsidRPr="00C90D89" w:rsidRDefault="00AD0548" w:rsidP="00E54A2D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§2º A responsabilidade de que trata o caput inclui todos os custos referentes à ampliação de capacidade ou reforma de subestações, alimentadores e linhas já existentes, quando necessárias ao atendimento das instalações de iluminação pública, observado o disposto nos §§ 1º a 4º do art. 43.</w:t>
      </w:r>
    </w:p>
    <w:p w14:paraId="355749E0" w14:textId="77777777" w:rsidR="00E54A2D" w:rsidRPr="00C90D89" w:rsidRDefault="00E54A2D" w:rsidP="00E54A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400EF42C" w14:textId="577295A9" w:rsidR="00AD0548" w:rsidRPr="00C90D89" w:rsidRDefault="00AD0548" w:rsidP="00F0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</w:t>
      </w:r>
      <w:r w:rsidR="00CD6792" w:rsidRPr="00C90D89">
        <w:rPr>
          <w:rFonts w:ascii="Times New Roman" w:hAnsi="Times New Roman" w:cs="Times New Roman"/>
        </w:rPr>
        <w:t>necessidade da leitura conjugada dá-se pelo fato de que, ao exame do art. 21, percebe-se que não apenas o ativo de iluminação públic</w:t>
      </w:r>
      <w:r w:rsidR="00F02ECA" w:rsidRPr="00C90D89">
        <w:rPr>
          <w:rFonts w:ascii="Times New Roman" w:hAnsi="Times New Roman" w:cs="Times New Roman"/>
        </w:rPr>
        <w:t>a</w:t>
      </w:r>
      <w:r w:rsidR="00CD6792" w:rsidRPr="00C90D89">
        <w:rPr>
          <w:rFonts w:ascii="Times New Roman" w:hAnsi="Times New Roman" w:cs="Times New Roman"/>
        </w:rPr>
        <w:t xml:space="preserve"> foi transferido</w:t>
      </w:r>
      <w:r w:rsidR="00F02ECA" w:rsidRPr="00C90D89">
        <w:rPr>
          <w:rFonts w:ascii="Times New Roman" w:hAnsi="Times New Roman" w:cs="Times New Roman"/>
        </w:rPr>
        <w:t>, mas todo o serviço público de suas instalações, que envolve uma série de operações</w:t>
      </w:r>
      <w:r w:rsidR="00CE2AE4">
        <w:rPr>
          <w:rFonts w:ascii="Times New Roman" w:hAnsi="Times New Roman" w:cs="Times New Roman"/>
        </w:rPr>
        <w:t xml:space="preserve"> (a iluminação pública é disciplinada pelos artigos 21 a 26 da resolução)</w:t>
      </w:r>
      <w:r w:rsidR="00F02ECA" w:rsidRPr="00C90D89">
        <w:rPr>
          <w:rFonts w:ascii="Times New Roman" w:hAnsi="Times New Roman" w:cs="Times New Roman"/>
        </w:rPr>
        <w:t>. O próprio § 1 do art. 21, note-se, refere-se a essa responsabilidade como um serviço, e o § 2º deixa claro que a resolução imp</w:t>
      </w:r>
      <w:r w:rsidR="00E72C18" w:rsidRPr="00C90D89">
        <w:rPr>
          <w:rFonts w:ascii="Times New Roman" w:hAnsi="Times New Roman" w:cs="Times New Roman"/>
        </w:rPr>
        <w:t>õ</w:t>
      </w:r>
      <w:r w:rsidR="00F02ECA" w:rsidRPr="00C90D89">
        <w:rPr>
          <w:rFonts w:ascii="Times New Roman" w:hAnsi="Times New Roman" w:cs="Times New Roman"/>
        </w:rPr>
        <w:t xml:space="preserve">e um ônus aos municípios, uma vez que passam a lhe caber, pela resolução, além dos custos pela elaboração, implantação, expansão, operação e manutenção das instalações, também os eventuais custos referentes </w:t>
      </w:r>
      <w:r w:rsidR="00CE2AE4">
        <w:rPr>
          <w:rFonts w:ascii="Times New Roman" w:hAnsi="Times New Roman" w:cs="Times New Roman"/>
        </w:rPr>
        <w:t>a</w:t>
      </w:r>
      <w:r w:rsidR="00F02ECA" w:rsidRPr="00C90D89">
        <w:rPr>
          <w:rFonts w:ascii="Times New Roman" w:hAnsi="Times New Roman" w:cs="Times New Roman"/>
        </w:rPr>
        <w:t xml:space="preserve"> ampliações e reformas de subestações, alimentadores e linhas já existentes. </w:t>
      </w:r>
    </w:p>
    <w:p w14:paraId="18BA0A5D" w14:textId="77777777" w:rsidR="00AD0548" w:rsidRPr="00C90D89" w:rsidRDefault="00AD0548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571DCD6" w14:textId="61E45E0B" w:rsidR="0086521E" w:rsidRPr="00C90D89" w:rsidRDefault="00E72C18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</w:t>
      </w:r>
      <w:r w:rsidR="0086521E" w:rsidRPr="00C90D89">
        <w:rPr>
          <w:rFonts w:ascii="Times New Roman" w:hAnsi="Times New Roman" w:cs="Times New Roman"/>
        </w:rPr>
        <w:t xml:space="preserve"> transferência</w:t>
      </w:r>
      <w:r w:rsidRPr="00C90D89">
        <w:rPr>
          <w:rFonts w:ascii="Times New Roman" w:hAnsi="Times New Roman" w:cs="Times New Roman"/>
        </w:rPr>
        <w:t xml:space="preserve"> dos ativos imobilizados em serviço</w:t>
      </w:r>
      <w:r w:rsidR="00AD0548" w:rsidRPr="00C90D89">
        <w:rPr>
          <w:rFonts w:ascii="Times New Roman" w:hAnsi="Times New Roman" w:cs="Times New Roman"/>
        </w:rPr>
        <w:t>, repisa-se,</w:t>
      </w:r>
      <w:r w:rsidR="0086521E" w:rsidRPr="00C90D89">
        <w:rPr>
          <w:rFonts w:ascii="Times New Roman" w:hAnsi="Times New Roman" w:cs="Times New Roman"/>
        </w:rPr>
        <w:t xml:space="preserve"> fo</w:t>
      </w:r>
      <w:r w:rsidRPr="00C90D89">
        <w:rPr>
          <w:rFonts w:ascii="Times New Roman" w:hAnsi="Times New Roman" w:cs="Times New Roman"/>
        </w:rPr>
        <w:t>i</w:t>
      </w:r>
      <w:r w:rsidR="0086521E" w:rsidRPr="00C90D89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>determinada</w:t>
      </w:r>
      <w:r w:rsidR="0086521E" w:rsidRPr="00C90D89">
        <w:rPr>
          <w:rFonts w:ascii="Times New Roman" w:hAnsi="Times New Roman" w:cs="Times New Roman"/>
        </w:rPr>
        <w:t xml:space="preserve"> na forma de uma obrigação, isso é, independente de qualquer anuência do poder público municipal. </w:t>
      </w:r>
      <w:r w:rsidRPr="00CE2AE4">
        <w:rPr>
          <w:rFonts w:ascii="Times New Roman" w:hAnsi="Times New Roman" w:cs="Times New Roman"/>
          <w:color w:val="FF0000"/>
        </w:rPr>
        <w:t xml:space="preserve">E, </w:t>
      </w:r>
      <w:r w:rsidR="00554E74" w:rsidRPr="00CE2AE4">
        <w:rPr>
          <w:rFonts w:ascii="Times New Roman" w:hAnsi="Times New Roman" w:cs="Times New Roman"/>
          <w:color w:val="FF0000"/>
        </w:rPr>
        <w:t>após</w:t>
      </w:r>
      <w:r w:rsidR="0086521E" w:rsidRPr="00CE2AE4">
        <w:rPr>
          <w:rFonts w:ascii="Times New Roman" w:hAnsi="Times New Roman" w:cs="Times New Roman"/>
          <w:color w:val="FF0000"/>
        </w:rPr>
        <w:t xml:space="preserve"> </w:t>
      </w:r>
      <w:r w:rsidR="00554E74" w:rsidRPr="00CE2AE4">
        <w:rPr>
          <w:rFonts w:ascii="Times New Roman" w:hAnsi="Times New Roman" w:cs="Times New Roman"/>
          <w:color w:val="FF0000"/>
        </w:rPr>
        <w:t>a normativa</w:t>
      </w:r>
      <w:r w:rsidR="0086521E" w:rsidRPr="00CE2AE4">
        <w:rPr>
          <w:rFonts w:ascii="Times New Roman" w:hAnsi="Times New Roman" w:cs="Times New Roman"/>
          <w:color w:val="FF0000"/>
        </w:rPr>
        <w:t xml:space="preserve">, </w:t>
      </w:r>
      <w:r w:rsidR="00554E74" w:rsidRPr="00CE2AE4">
        <w:rPr>
          <w:rFonts w:ascii="Times New Roman" w:hAnsi="Times New Roman" w:cs="Times New Roman"/>
          <w:color w:val="FF0000"/>
        </w:rPr>
        <w:t xml:space="preserve">como era de se esperar, a concessionária ré logo tomou ações buscando sua </w:t>
      </w:r>
      <w:r w:rsidRPr="00CE2AE4">
        <w:rPr>
          <w:rFonts w:ascii="Times New Roman" w:hAnsi="Times New Roman" w:cs="Times New Roman"/>
          <w:color w:val="FF0000"/>
        </w:rPr>
        <w:t>concretização</w:t>
      </w:r>
      <w:r w:rsidR="00554E74" w:rsidRPr="00CE2AE4">
        <w:rPr>
          <w:rFonts w:ascii="Times New Roman" w:hAnsi="Times New Roman" w:cs="Times New Roman"/>
          <w:color w:val="FF0000"/>
        </w:rPr>
        <w:t xml:space="preserve">, a fim de efetivar a transferência. </w:t>
      </w:r>
      <w:r w:rsidR="00554E74" w:rsidRPr="00C90D89">
        <w:rPr>
          <w:rFonts w:ascii="Times New Roman" w:hAnsi="Times New Roman" w:cs="Times New Roman"/>
          <w:color w:val="FF0000"/>
        </w:rPr>
        <w:t xml:space="preserve">No dia </w:t>
      </w:r>
      <w:r w:rsidRPr="00C90D89">
        <w:rPr>
          <w:rFonts w:ascii="Times New Roman" w:hAnsi="Times New Roman" w:cs="Times New Roman"/>
          <w:color w:val="FF0000"/>
        </w:rPr>
        <w:t xml:space="preserve">XX-XX-XXXX, </w:t>
      </w:r>
      <w:r w:rsidR="00554E74" w:rsidRPr="00C90D89">
        <w:rPr>
          <w:rFonts w:ascii="Times New Roman" w:hAnsi="Times New Roman" w:cs="Times New Roman"/>
          <w:color w:val="FF0000"/>
        </w:rPr>
        <w:t xml:space="preserve">o autor recebeu </w:t>
      </w:r>
      <w:r w:rsidRPr="00C90D89">
        <w:rPr>
          <w:rFonts w:ascii="Times New Roman" w:hAnsi="Times New Roman" w:cs="Times New Roman"/>
          <w:color w:val="FF0000"/>
        </w:rPr>
        <w:t xml:space="preserve">notificação </w:t>
      </w:r>
      <w:r w:rsidR="00554E74" w:rsidRPr="00C90D89">
        <w:rPr>
          <w:rFonts w:ascii="Times New Roman" w:hAnsi="Times New Roman" w:cs="Times New Roman"/>
          <w:color w:val="FF0000"/>
        </w:rPr>
        <w:t xml:space="preserve">da concessionário </w:t>
      </w:r>
      <w:r w:rsidRPr="00C90D89">
        <w:rPr>
          <w:rFonts w:ascii="Times New Roman" w:hAnsi="Times New Roman" w:cs="Times New Roman"/>
          <w:color w:val="FF0000"/>
        </w:rPr>
        <w:t>visando a atender a nova disciplina legal. HISTORIAR DEMAIS FATOS RELEVANTES NA RELAÇÃO COM A DISTRIBUIDORA E/OU ANEEL RELACIONADA À CONCRETIZAÇÃO</w:t>
      </w:r>
      <w:r w:rsidR="0086521E" w:rsidRPr="00C90D89">
        <w:rPr>
          <w:rFonts w:ascii="Times New Roman" w:hAnsi="Times New Roman" w:cs="Times New Roman"/>
          <w:color w:val="FF0000"/>
        </w:rPr>
        <w:t xml:space="preserve"> </w:t>
      </w:r>
      <w:r w:rsidRPr="00C90D89">
        <w:rPr>
          <w:rFonts w:ascii="Times New Roman" w:hAnsi="Times New Roman" w:cs="Times New Roman"/>
          <w:color w:val="FF0000"/>
        </w:rPr>
        <w:t>DA TRANSFERÊNCIA</w:t>
      </w:r>
      <w:r w:rsidR="00776768" w:rsidRPr="00C90D89">
        <w:rPr>
          <w:rFonts w:ascii="Times New Roman" w:hAnsi="Times New Roman" w:cs="Times New Roman"/>
          <w:color w:val="FF0000"/>
        </w:rPr>
        <w:t>, ANEXANDO DOCS. QUANDO FOR O CASO</w:t>
      </w:r>
      <w:r w:rsidRPr="00C90D89">
        <w:rPr>
          <w:rFonts w:ascii="Times New Roman" w:hAnsi="Times New Roman" w:cs="Times New Roman"/>
        </w:rPr>
        <w:t>.</w:t>
      </w:r>
    </w:p>
    <w:p w14:paraId="2C56C143" w14:textId="77777777" w:rsidR="0086521E" w:rsidRPr="00C90D89" w:rsidRDefault="0086521E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C0FFF81" w14:textId="00F999D5" w:rsidR="00CE2AE4" w:rsidRDefault="007A302E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Note-se que, de acordo com o § 3º do art. 218 da resolução normativa, já </w:t>
      </w:r>
      <w:r w:rsidR="00CE2AE4">
        <w:rPr>
          <w:rFonts w:ascii="Times New Roman" w:hAnsi="Times New Roman" w:cs="Times New Roman"/>
        </w:rPr>
        <w:t xml:space="preserve">se </w:t>
      </w:r>
      <w:r w:rsidRPr="00C90D89">
        <w:rPr>
          <w:rFonts w:ascii="Times New Roman" w:hAnsi="Times New Roman" w:cs="Times New Roman"/>
        </w:rPr>
        <w:t>encerrou o prazo</w:t>
      </w:r>
      <w:r w:rsidR="00CE2AE4">
        <w:rPr>
          <w:rFonts w:ascii="Times New Roman" w:hAnsi="Times New Roman" w:cs="Times New Roman"/>
        </w:rPr>
        <w:t>-</w:t>
      </w:r>
      <w:r w:rsidRPr="00C90D89">
        <w:rPr>
          <w:rFonts w:ascii="Times New Roman" w:hAnsi="Times New Roman" w:cs="Times New Roman"/>
        </w:rPr>
        <w:t xml:space="preserve">limite </w:t>
      </w:r>
      <w:r w:rsidR="00CE2AE4">
        <w:rPr>
          <w:rFonts w:ascii="Times New Roman" w:hAnsi="Times New Roman" w:cs="Times New Roman"/>
        </w:rPr>
        <w:t>de</w:t>
      </w:r>
      <w:r w:rsidRPr="00C90D89">
        <w:rPr>
          <w:rFonts w:ascii="Times New Roman" w:hAnsi="Times New Roman" w:cs="Times New Roman"/>
        </w:rPr>
        <w:t xml:space="preserve"> transferência dos ativos</w:t>
      </w:r>
      <w:r w:rsidR="000E6704" w:rsidRPr="00C90D89">
        <w:rPr>
          <w:rFonts w:ascii="Times New Roman" w:hAnsi="Times New Roman" w:cs="Times New Roman"/>
        </w:rPr>
        <w:t>, que fora o dia 31 de dezembro de 2014</w:t>
      </w:r>
      <w:r w:rsidR="00CE2AE4">
        <w:rPr>
          <w:rFonts w:ascii="Times New Roman" w:hAnsi="Times New Roman" w:cs="Times New Roman"/>
        </w:rPr>
        <w:t xml:space="preserve">. Isso </w:t>
      </w:r>
      <w:r w:rsidR="000E6704" w:rsidRPr="00C90D89">
        <w:rPr>
          <w:rFonts w:ascii="Times New Roman" w:hAnsi="Times New Roman" w:cs="Times New Roman"/>
        </w:rPr>
        <w:t xml:space="preserve">gera, </w:t>
      </w:r>
      <w:r w:rsidR="00CE2AE4">
        <w:rPr>
          <w:rFonts w:ascii="Times New Roman" w:hAnsi="Times New Roman" w:cs="Times New Roman"/>
        </w:rPr>
        <w:t>evidentemente</w:t>
      </w:r>
      <w:r w:rsidR="000E6704" w:rsidRPr="00C90D89">
        <w:rPr>
          <w:rFonts w:ascii="Times New Roman" w:hAnsi="Times New Roman" w:cs="Times New Roman"/>
        </w:rPr>
        <w:t>, o temor de que o Município e seus responsáveis legais possam vir a ser penalizados pela não realização da transferência</w:t>
      </w:r>
      <w:r w:rsidRPr="00C90D89">
        <w:rPr>
          <w:rFonts w:ascii="Times New Roman" w:hAnsi="Times New Roman" w:cs="Times New Roman"/>
        </w:rPr>
        <w:t xml:space="preserve">. </w:t>
      </w:r>
    </w:p>
    <w:p w14:paraId="6082717B" w14:textId="77777777" w:rsidR="00CE2AE4" w:rsidRDefault="00CE2AE4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47F8F31" w14:textId="7CC9B06E" w:rsidR="00776768" w:rsidRPr="00C90D89" w:rsidRDefault="0086521E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Ocorre que o autor, além de não possuir o interesse</w:t>
      </w:r>
      <w:r w:rsidR="006F7B6E" w:rsidRPr="00C90D89">
        <w:rPr>
          <w:rFonts w:ascii="Times New Roman" w:hAnsi="Times New Roman" w:cs="Times New Roman"/>
        </w:rPr>
        <w:t xml:space="preserve"> n</w:t>
      </w:r>
      <w:r w:rsidR="00BF2F99" w:rsidRPr="00C90D89">
        <w:rPr>
          <w:rFonts w:ascii="Times New Roman" w:hAnsi="Times New Roman" w:cs="Times New Roman"/>
        </w:rPr>
        <w:t>ess</w:t>
      </w:r>
      <w:r w:rsidR="006F7B6E" w:rsidRPr="00C90D89">
        <w:rPr>
          <w:rFonts w:ascii="Times New Roman" w:hAnsi="Times New Roman" w:cs="Times New Roman"/>
        </w:rPr>
        <w:t>a transferência de ativos e de não prover de meios necessári</w:t>
      </w:r>
      <w:r w:rsidR="00BF2F99" w:rsidRPr="00C90D89">
        <w:rPr>
          <w:rFonts w:ascii="Times New Roman" w:hAnsi="Times New Roman" w:cs="Times New Roman"/>
        </w:rPr>
        <w:t>o</w:t>
      </w:r>
      <w:r w:rsidR="006F7B6E" w:rsidRPr="00C90D89">
        <w:rPr>
          <w:rFonts w:ascii="Times New Roman" w:hAnsi="Times New Roman" w:cs="Times New Roman"/>
        </w:rPr>
        <w:t>s para a adequada e contínua prestação d</w:t>
      </w:r>
      <w:r w:rsidR="00BF2F99" w:rsidRPr="00C90D89">
        <w:rPr>
          <w:rFonts w:ascii="Times New Roman" w:hAnsi="Times New Roman" w:cs="Times New Roman"/>
        </w:rPr>
        <w:t>o serviço de iluminação pública</w:t>
      </w:r>
      <w:r w:rsidR="006F7B6E" w:rsidRPr="00C90D89">
        <w:rPr>
          <w:rFonts w:ascii="Times New Roman" w:hAnsi="Times New Roman" w:cs="Times New Roman"/>
        </w:rPr>
        <w:t xml:space="preserve">, entende que tal transferência, </w:t>
      </w:r>
      <w:r w:rsidR="00776768" w:rsidRPr="00C90D89">
        <w:rPr>
          <w:rFonts w:ascii="Times New Roman" w:hAnsi="Times New Roman" w:cs="Times New Roman"/>
        </w:rPr>
        <w:t xml:space="preserve">estabelecida </w:t>
      </w:r>
      <w:r w:rsidR="006F7B6E" w:rsidRPr="00C90D89">
        <w:rPr>
          <w:rFonts w:ascii="Times New Roman" w:hAnsi="Times New Roman" w:cs="Times New Roman"/>
        </w:rPr>
        <w:t>na forma de uma obrigação, é eivada de inconstitucionalidades e ilegalidades</w:t>
      </w:r>
      <w:r w:rsidR="00776768" w:rsidRPr="00C90D89">
        <w:rPr>
          <w:rFonts w:ascii="Times New Roman" w:hAnsi="Times New Roman" w:cs="Times New Roman"/>
        </w:rPr>
        <w:t xml:space="preserve">. Essa a conclusão, aliás, </w:t>
      </w:r>
      <w:r w:rsidR="007A302E" w:rsidRPr="00C90D89">
        <w:rPr>
          <w:rFonts w:ascii="Times New Roman" w:hAnsi="Times New Roman" w:cs="Times New Roman"/>
        </w:rPr>
        <w:t xml:space="preserve">de um </w:t>
      </w:r>
      <w:r w:rsidR="000E6704" w:rsidRPr="00C90D89">
        <w:rPr>
          <w:rFonts w:ascii="Times New Roman" w:hAnsi="Times New Roman" w:cs="Times New Roman"/>
        </w:rPr>
        <w:t xml:space="preserve">parecer </w:t>
      </w:r>
      <w:r w:rsidR="00776768" w:rsidRPr="00C90D89">
        <w:rPr>
          <w:rFonts w:ascii="Times New Roman" w:hAnsi="Times New Roman" w:cs="Times New Roman"/>
        </w:rPr>
        <w:t>contratado pela Confederação Nacional dos Municípios</w:t>
      </w:r>
      <w:r w:rsidR="006946C2" w:rsidRPr="00C90D89">
        <w:rPr>
          <w:rFonts w:ascii="Times New Roman" w:hAnsi="Times New Roman" w:cs="Times New Roman"/>
        </w:rPr>
        <w:t xml:space="preserve"> </w:t>
      </w:r>
      <w:r w:rsidR="000E6704" w:rsidRPr="00C90D89">
        <w:rPr>
          <w:rFonts w:ascii="Times New Roman" w:hAnsi="Times New Roman" w:cs="Times New Roman"/>
        </w:rPr>
        <w:t xml:space="preserve">(Parecer n. 01/2015, doc. </w:t>
      </w:r>
      <w:r w:rsidR="00776768" w:rsidRPr="00C90D89">
        <w:rPr>
          <w:rFonts w:ascii="Times New Roman" w:hAnsi="Times New Roman" w:cs="Times New Roman"/>
          <w:color w:val="FF0000"/>
        </w:rPr>
        <w:t>XX</w:t>
      </w:r>
      <w:r w:rsidR="00776768" w:rsidRPr="00C90D89">
        <w:rPr>
          <w:rFonts w:ascii="Times New Roman" w:hAnsi="Times New Roman" w:cs="Times New Roman"/>
        </w:rPr>
        <w:t>)</w:t>
      </w:r>
      <w:r w:rsidR="007A302E" w:rsidRPr="00C90D89">
        <w:rPr>
          <w:rFonts w:ascii="Times New Roman" w:hAnsi="Times New Roman" w:cs="Times New Roman"/>
        </w:rPr>
        <w:t xml:space="preserve">, </w:t>
      </w:r>
      <w:r w:rsidR="00750DD4" w:rsidRPr="00C90D89">
        <w:rPr>
          <w:rFonts w:ascii="Times New Roman" w:hAnsi="Times New Roman" w:cs="Times New Roman"/>
        </w:rPr>
        <w:t xml:space="preserve">onde se pode ler em argumentação </w:t>
      </w:r>
      <w:r w:rsidR="006946C2" w:rsidRPr="00C90D89">
        <w:rPr>
          <w:rFonts w:ascii="Times New Roman" w:hAnsi="Times New Roman" w:cs="Times New Roman"/>
        </w:rPr>
        <w:t>amiúde o elenco das antijuridicidades</w:t>
      </w:r>
      <w:r w:rsidR="00776768" w:rsidRPr="00C90D89">
        <w:rPr>
          <w:rFonts w:ascii="Times New Roman" w:hAnsi="Times New Roman" w:cs="Times New Roman"/>
        </w:rPr>
        <w:t>.</w:t>
      </w:r>
      <w:r w:rsidR="000E6704" w:rsidRPr="00C90D89">
        <w:rPr>
          <w:rFonts w:ascii="Times New Roman" w:hAnsi="Times New Roman" w:cs="Times New Roman"/>
        </w:rPr>
        <w:t xml:space="preserve"> Também é a conclusão que se pode obter do primeiro caso </w:t>
      </w:r>
      <w:r w:rsidR="00750DD4" w:rsidRPr="00C90D89">
        <w:rPr>
          <w:rFonts w:ascii="Times New Roman" w:hAnsi="Times New Roman" w:cs="Times New Roman"/>
        </w:rPr>
        <w:t xml:space="preserve">que se tem notícia tenha sido </w:t>
      </w:r>
      <w:r w:rsidR="000E6704" w:rsidRPr="00C90D89">
        <w:rPr>
          <w:rFonts w:ascii="Times New Roman" w:hAnsi="Times New Roman" w:cs="Times New Roman"/>
        </w:rPr>
        <w:t>julgado sobre o tema, originá</w:t>
      </w:r>
      <w:r w:rsidR="00750DD4" w:rsidRPr="00C90D89">
        <w:rPr>
          <w:rFonts w:ascii="Times New Roman" w:hAnsi="Times New Roman" w:cs="Times New Roman"/>
        </w:rPr>
        <w:t xml:space="preserve">rio do Município de Marília/SP, no qual – embora se esteja tratando de decisão de primeira instância –, </w:t>
      </w:r>
      <w:r w:rsidR="008B528C" w:rsidRPr="00C90D89">
        <w:rPr>
          <w:rFonts w:ascii="Times New Roman" w:hAnsi="Times New Roman" w:cs="Times New Roman"/>
        </w:rPr>
        <w:t>foi reconhecida, incidentalmente, a inconstitucionalidade da resolução normativa, desobrigando aquele município de receber o sistema de iluminação pública registrado como Ativo Imobilizado em Serviço</w:t>
      </w:r>
      <w:r w:rsidR="00750DD4" w:rsidRPr="00C90D89">
        <w:rPr>
          <w:rFonts w:ascii="Times New Roman" w:hAnsi="Times New Roman" w:cs="Times New Roman"/>
        </w:rPr>
        <w:t>.</w:t>
      </w:r>
      <w:r w:rsidR="008B528C" w:rsidRPr="00C90D89">
        <w:rPr>
          <w:rStyle w:val="FootnoteReference"/>
          <w:rFonts w:ascii="Times New Roman" w:hAnsi="Times New Roman" w:cs="Times New Roman"/>
        </w:rPr>
        <w:footnoteReference w:id="1"/>
      </w:r>
      <w:r w:rsidR="00750DD4" w:rsidRPr="00C90D89">
        <w:rPr>
          <w:rFonts w:ascii="Times New Roman" w:hAnsi="Times New Roman" w:cs="Times New Roman"/>
        </w:rPr>
        <w:t xml:space="preserve"> Essas mesmas antijuridicidades, vale acrescentar, foram também objeto de uma ação civil pública ajuizada pelo Ministério Público Federal</w:t>
      </w:r>
      <w:r w:rsidR="000E6704" w:rsidRPr="00C90D89">
        <w:rPr>
          <w:rFonts w:ascii="Times New Roman" w:hAnsi="Times New Roman" w:cs="Times New Roman"/>
        </w:rPr>
        <w:t xml:space="preserve"> </w:t>
      </w:r>
      <w:r w:rsidR="00B618D9" w:rsidRPr="00C90D89">
        <w:rPr>
          <w:rFonts w:ascii="Times New Roman" w:hAnsi="Times New Roman" w:cs="Times New Roman"/>
        </w:rPr>
        <w:t>em face da agência reguladora e diversas distribuidoras</w:t>
      </w:r>
      <w:r w:rsidR="00B618D9" w:rsidRPr="00C90D89">
        <w:rPr>
          <w:rStyle w:val="FootnoteReference"/>
          <w:rFonts w:ascii="Times New Roman" w:hAnsi="Times New Roman" w:cs="Times New Roman"/>
        </w:rPr>
        <w:footnoteReference w:id="2"/>
      </w:r>
      <w:r w:rsidR="00B618D9" w:rsidRPr="00C90D89">
        <w:rPr>
          <w:rFonts w:ascii="Times New Roman" w:hAnsi="Times New Roman" w:cs="Times New Roman"/>
        </w:rPr>
        <w:t xml:space="preserve">, em que pese nesta tenha havido, também em primeira instância, extinção sem julgamento de mérito, por considerar o juízo ausente o interesse de agir, quer por se tratarem de relações jurídicas individuais e determináveis, quer pelo fato de a ação civil pública não se prestar para declarações de inconstitucionalidade com efeitos </w:t>
      </w:r>
      <w:r w:rsidR="00B618D9" w:rsidRPr="00C90D89">
        <w:rPr>
          <w:rFonts w:ascii="Times New Roman" w:hAnsi="Times New Roman" w:cs="Times New Roman"/>
          <w:i/>
        </w:rPr>
        <w:t>erga omnes</w:t>
      </w:r>
      <w:r w:rsidR="00B618D9" w:rsidRPr="00C90D89">
        <w:rPr>
          <w:rFonts w:ascii="Times New Roman" w:hAnsi="Times New Roman" w:cs="Times New Roman"/>
        </w:rPr>
        <w:t>.</w:t>
      </w:r>
      <w:r w:rsidR="00B618D9" w:rsidRPr="00C90D89">
        <w:rPr>
          <w:rStyle w:val="FootnoteReference"/>
          <w:rFonts w:ascii="Times New Roman" w:hAnsi="Times New Roman" w:cs="Times New Roman"/>
        </w:rPr>
        <w:footnoteReference w:id="3"/>
      </w:r>
      <w:r w:rsidR="00B618D9" w:rsidRPr="00C90D89">
        <w:rPr>
          <w:rFonts w:ascii="Times New Roman" w:hAnsi="Times New Roman" w:cs="Times New Roman"/>
        </w:rPr>
        <w:t xml:space="preserve"> </w:t>
      </w:r>
      <w:r w:rsidR="002D09A2" w:rsidRPr="00C90D89">
        <w:rPr>
          <w:rFonts w:ascii="Times New Roman" w:hAnsi="Times New Roman" w:cs="Times New Roman"/>
        </w:rPr>
        <w:t>Essa decisão reforça a necessidade de os Municípios buscarem, individualmente, a invalidação da transferência de ativos.</w:t>
      </w:r>
      <w:r w:rsidR="00776768" w:rsidRPr="00C90D89">
        <w:rPr>
          <w:rFonts w:ascii="Times New Roman" w:hAnsi="Times New Roman" w:cs="Times New Roman"/>
        </w:rPr>
        <w:t xml:space="preserve"> </w:t>
      </w:r>
    </w:p>
    <w:p w14:paraId="3858A3C8" w14:textId="77777777" w:rsidR="00776768" w:rsidRPr="00C90D89" w:rsidRDefault="00776768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F668495" w14:textId="36BA1EF6" w:rsidR="002B2692" w:rsidRPr="00C90D89" w:rsidRDefault="002D09A2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São a</w:t>
      </w:r>
      <w:r w:rsidR="00776768" w:rsidRPr="00C90D89">
        <w:rPr>
          <w:rFonts w:ascii="Times New Roman" w:hAnsi="Times New Roman" w:cs="Times New Roman"/>
        </w:rPr>
        <w:t xml:space="preserve">s razões </w:t>
      </w:r>
      <w:r w:rsidR="000E6704" w:rsidRPr="00C90D89">
        <w:rPr>
          <w:rFonts w:ascii="Times New Roman" w:hAnsi="Times New Roman" w:cs="Times New Roman"/>
        </w:rPr>
        <w:t xml:space="preserve">dessas inconstitucionalidades e ilegalidades dos artigos 21 e 218 da Resolução Normativa ANEEL n. 414/2010 </w:t>
      </w:r>
      <w:r w:rsidRPr="00C90D89">
        <w:rPr>
          <w:rFonts w:ascii="Times New Roman" w:hAnsi="Times New Roman" w:cs="Times New Roman"/>
        </w:rPr>
        <w:t xml:space="preserve">que se </w:t>
      </w:r>
      <w:r w:rsidR="006F7B6E" w:rsidRPr="00C90D89">
        <w:rPr>
          <w:rFonts w:ascii="Times New Roman" w:hAnsi="Times New Roman" w:cs="Times New Roman"/>
        </w:rPr>
        <w:t>passa</w:t>
      </w:r>
      <w:r w:rsidR="000E6704" w:rsidRPr="00C90D89">
        <w:rPr>
          <w:rFonts w:ascii="Times New Roman" w:hAnsi="Times New Roman" w:cs="Times New Roman"/>
        </w:rPr>
        <w:t>m, adiante e em síntese,</w:t>
      </w:r>
      <w:r w:rsidR="006F7B6E" w:rsidRPr="00C90D89">
        <w:rPr>
          <w:rFonts w:ascii="Times New Roman" w:hAnsi="Times New Roman" w:cs="Times New Roman"/>
        </w:rPr>
        <w:t xml:space="preserve"> a demonstrar</w:t>
      </w:r>
      <w:r w:rsidR="0086521E" w:rsidRPr="00C90D89">
        <w:rPr>
          <w:rFonts w:ascii="Times New Roman" w:hAnsi="Times New Roman" w:cs="Times New Roman"/>
        </w:rPr>
        <w:t>.</w:t>
      </w:r>
    </w:p>
    <w:p w14:paraId="0D7482DB" w14:textId="77777777" w:rsidR="002B2692" w:rsidRPr="00C90D89" w:rsidRDefault="002B2692" w:rsidP="005610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294541A" w14:textId="49CCD4B0" w:rsidR="002B2692" w:rsidRPr="00C90D89" w:rsidRDefault="002B2692" w:rsidP="005610C6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>2. Do Direito</w:t>
      </w:r>
    </w:p>
    <w:p w14:paraId="3E341B04" w14:textId="5F6B143A" w:rsidR="004C431E" w:rsidRPr="00C90D89" w:rsidRDefault="004C431E" w:rsidP="005610C6">
      <w:pPr>
        <w:spacing w:line="360" w:lineRule="auto"/>
        <w:rPr>
          <w:rFonts w:ascii="Times New Roman" w:hAnsi="Times New Roman" w:cs="Times New Roman"/>
        </w:rPr>
      </w:pPr>
    </w:p>
    <w:p w14:paraId="570EDEF6" w14:textId="77EE1755" w:rsidR="005610C6" w:rsidRPr="00C90D89" w:rsidRDefault="005610C6" w:rsidP="005610C6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>A) Preliminar</w:t>
      </w:r>
      <w:r w:rsidR="00A359FB" w:rsidRPr="00C90D89">
        <w:rPr>
          <w:rFonts w:ascii="Times New Roman" w:hAnsi="Times New Roman" w:cs="Times New Roman"/>
          <w:b/>
        </w:rPr>
        <w:t>: competência da Justiça Federal</w:t>
      </w:r>
    </w:p>
    <w:p w14:paraId="535F31BF" w14:textId="77777777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Cs/>
        </w:rPr>
      </w:pPr>
    </w:p>
    <w:p w14:paraId="79D7A09E" w14:textId="22378B2E" w:rsidR="002711F2" w:rsidRPr="00C90D89" w:rsidRDefault="002711F2" w:rsidP="00F842C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 xml:space="preserve">A ANEEL, constituída na forma de autarquia federal em regime especial, é agência reguladora dos serviços de energia elétrica. Constituída pela Lei n. 9.427/96, essa lei, em seu art. 3º, inciso I, confere à agência competência para expedir atos regulamentares relacionados às políticas e diretrizes do governo federal para a exploração da energia elétrica. </w:t>
      </w:r>
    </w:p>
    <w:p w14:paraId="2482FF6A" w14:textId="77777777" w:rsidR="002711F2" w:rsidRPr="00C90D89" w:rsidRDefault="002711F2" w:rsidP="00F842C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775CE518" w14:textId="6493607D" w:rsidR="00422950" w:rsidRPr="00C90D89" w:rsidRDefault="002711F2" w:rsidP="0042295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>Na presente ação, discute-se</w:t>
      </w:r>
      <w:r w:rsidR="004D66C4">
        <w:rPr>
          <w:rFonts w:ascii="Times New Roman" w:hAnsi="Times New Roman" w:cs="Times New Roman"/>
          <w:bCs/>
        </w:rPr>
        <w:t xml:space="preserve"> exatamente</w:t>
      </w:r>
      <w:r w:rsidRPr="00C90D89">
        <w:rPr>
          <w:rFonts w:ascii="Times New Roman" w:hAnsi="Times New Roman" w:cs="Times New Roman"/>
          <w:bCs/>
        </w:rPr>
        <w:t xml:space="preserve"> um ato normativo da ANEEL (a já referida Resolução Normativa n. 414/2010 e suas atualizações posteriores)</w:t>
      </w:r>
      <w:r w:rsidR="00422950" w:rsidRPr="00C90D89">
        <w:rPr>
          <w:rFonts w:ascii="Times New Roman" w:hAnsi="Times New Roman" w:cs="Times New Roman"/>
          <w:bCs/>
        </w:rPr>
        <w:t>, entendendo-se ser ele inconstitucional, dentre outros motivos, por exceder ao poder regulamentar. Mostra-se, assim, indubitável o interesse e a legitimidade da ANEEL na qualidade de litisconsorte passiva necessária, o que desloca a competência desta ação para a Justiça Federal</w:t>
      </w:r>
      <w:r w:rsidR="003F0BC7" w:rsidRPr="00C90D89">
        <w:rPr>
          <w:rFonts w:ascii="Times New Roman" w:hAnsi="Times New Roman" w:cs="Times New Roman"/>
          <w:bCs/>
        </w:rPr>
        <w:t>, nos termos do art. 109, I da CF/88</w:t>
      </w:r>
      <w:r w:rsidR="00422950" w:rsidRPr="00C90D89">
        <w:rPr>
          <w:rFonts w:ascii="Times New Roman" w:hAnsi="Times New Roman" w:cs="Times New Roman"/>
          <w:bCs/>
        </w:rPr>
        <w:t>.</w:t>
      </w:r>
      <w:r w:rsidR="00422950" w:rsidRPr="00C90D89">
        <w:rPr>
          <w:rStyle w:val="FootnoteReference"/>
          <w:rFonts w:ascii="Times New Roman" w:hAnsi="Times New Roman" w:cs="Times New Roman"/>
          <w:bCs/>
        </w:rPr>
        <w:footnoteReference w:id="4"/>
      </w:r>
      <w:r w:rsidR="0063495F" w:rsidRPr="00C90D89">
        <w:rPr>
          <w:rFonts w:ascii="Times New Roman" w:hAnsi="Times New Roman" w:cs="Times New Roman"/>
          <w:bCs/>
        </w:rPr>
        <w:t xml:space="preserve"> Cabe, ainda, observar a regra de competência exposta no art. 99, I do Código de Processo Civil, para </w:t>
      </w:r>
      <w:r w:rsidR="00EC5446" w:rsidRPr="00C90D89">
        <w:rPr>
          <w:rFonts w:ascii="Times New Roman" w:hAnsi="Times New Roman" w:cs="Times New Roman"/>
          <w:bCs/>
        </w:rPr>
        <w:t>a</w:t>
      </w:r>
      <w:r w:rsidR="0063495F" w:rsidRPr="00C90D89">
        <w:rPr>
          <w:rFonts w:ascii="Times New Roman" w:hAnsi="Times New Roman" w:cs="Times New Roman"/>
          <w:bCs/>
        </w:rPr>
        <w:t xml:space="preserve"> qual o Superior Tribunal de</w:t>
      </w:r>
      <w:r w:rsidR="00EC5446" w:rsidRPr="00C90D89">
        <w:rPr>
          <w:rFonts w:ascii="Times New Roman" w:hAnsi="Times New Roman" w:cs="Times New Roman"/>
          <w:bCs/>
        </w:rPr>
        <w:t xml:space="preserve"> Justiça de</w:t>
      </w:r>
      <w:r w:rsidR="0063495F" w:rsidRPr="00C90D89">
        <w:rPr>
          <w:rFonts w:ascii="Times New Roman" w:hAnsi="Times New Roman" w:cs="Times New Roman"/>
          <w:bCs/>
        </w:rPr>
        <w:t>u a seguinte interpretação: “</w:t>
      </w:r>
      <w:r w:rsidR="0063495F" w:rsidRPr="00C90D89">
        <w:rPr>
          <w:rFonts w:ascii="Times New Roman" w:hAnsi="Times New Roman" w:cs="Times New Roman"/>
          <w:bCs/>
          <w:i/>
        </w:rPr>
        <w:t>As autarquias federais podem ser demandadas no foro de sua sede ou naquele em que se acha a agência ou sucursal em cujo âmbito de competência ocorreram os fatos que geraram a lide.</w:t>
      </w:r>
      <w:r w:rsidR="0063495F" w:rsidRPr="00C90D89">
        <w:rPr>
          <w:rFonts w:ascii="Times New Roman" w:hAnsi="Times New Roman" w:cs="Times New Roman"/>
          <w:bCs/>
        </w:rPr>
        <w:t>”</w:t>
      </w:r>
      <w:r w:rsidR="0063495F" w:rsidRPr="00C90D89">
        <w:rPr>
          <w:rStyle w:val="FootnoteReference"/>
          <w:rFonts w:ascii="Times New Roman" w:hAnsi="Times New Roman" w:cs="Times New Roman"/>
          <w:bCs/>
        </w:rPr>
        <w:footnoteReference w:id="5"/>
      </w:r>
    </w:p>
    <w:p w14:paraId="11A8240A" w14:textId="77777777" w:rsidR="00422950" w:rsidRPr="00C90D89" w:rsidRDefault="00422950" w:rsidP="0042295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59C5C66B" w14:textId="58C0D8A6" w:rsidR="00F842C0" w:rsidRPr="00C90D89" w:rsidRDefault="004D66C4" w:rsidP="0042295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Endereça-se </w:t>
      </w:r>
      <w:r w:rsidR="00422950" w:rsidRPr="00C90D89">
        <w:rPr>
          <w:rFonts w:ascii="Times New Roman" w:hAnsi="Times New Roman" w:cs="Times New Roman"/>
          <w:bCs/>
        </w:rPr>
        <w:t xml:space="preserve">à ação, </w:t>
      </w:r>
      <w:r>
        <w:rPr>
          <w:rFonts w:ascii="Times New Roman" w:hAnsi="Times New Roman" w:cs="Times New Roman"/>
          <w:bCs/>
        </w:rPr>
        <w:t xml:space="preserve">assim, </w:t>
      </w:r>
      <w:r w:rsidR="00422950" w:rsidRPr="00C90D89">
        <w:rPr>
          <w:rFonts w:ascii="Times New Roman" w:hAnsi="Times New Roman" w:cs="Times New Roman"/>
          <w:bCs/>
        </w:rPr>
        <w:t xml:space="preserve">nos termos do </w:t>
      </w:r>
      <w:r w:rsidR="00D34877" w:rsidRPr="00C90D89">
        <w:rPr>
          <w:rFonts w:ascii="Times New Roman" w:hAnsi="Times New Roman" w:cs="Times New Roman"/>
          <w:bCs/>
        </w:rPr>
        <w:t>art. 99, I do CPC</w:t>
      </w:r>
      <w:r w:rsidR="00D34877" w:rsidRPr="002D453C">
        <w:rPr>
          <w:rFonts w:ascii="Times New Roman" w:hAnsi="Times New Roman" w:cs="Times New Roman"/>
          <w:bCs/>
        </w:rPr>
        <w:t xml:space="preserve"> e do </w:t>
      </w:r>
      <w:r w:rsidR="00422950" w:rsidRPr="002D453C">
        <w:rPr>
          <w:rFonts w:ascii="Times New Roman" w:hAnsi="Times New Roman" w:cs="Times New Roman"/>
          <w:bCs/>
        </w:rPr>
        <w:t xml:space="preserve">art. 109, I da CF/88, ao juízo federal da </w:t>
      </w:r>
      <w:r w:rsidR="00D34877" w:rsidRPr="002D453C">
        <w:rPr>
          <w:rFonts w:ascii="Times New Roman" w:hAnsi="Times New Roman" w:cs="Times New Roman"/>
          <w:bCs/>
        </w:rPr>
        <w:t>cidade de Brasília/DF</w:t>
      </w:r>
      <w:r w:rsidR="002D453C" w:rsidRPr="002D453C">
        <w:rPr>
          <w:rFonts w:ascii="Times New Roman" w:hAnsi="Times New Roman" w:cs="Times New Roman"/>
          <w:bCs/>
        </w:rPr>
        <w:t>, sede da agência reguladora ré</w:t>
      </w:r>
      <w:r w:rsidR="00422950" w:rsidRPr="002D453C">
        <w:rPr>
          <w:rFonts w:ascii="Times New Roman" w:hAnsi="Times New Roman" w:cs="Times New Roman"/>
          <w:bCs/>
        </w:rPr>
        <w:t>.</w:t>
      </w:r>
      <w:r w:rsidR="00422950" w:rsidRPr="00C90D89">
        <w:rPr>
          <w:rFonts w:ascii="Times New Roman" w:hAnsi="Times New Roman" w:cs="Times New Roman"/>
          <w:bCs/>
        </w:rPr>
        <w:t xml:space="preserve"> </w:t>
      </w:r>
    </w:p>
    <w:p w14:paraId="1BB6301B" w14:textId="77777777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Cs/>
        </w:rPr>
      </w:pPr>
    </w:p>
    <w:p w14:paraId="6C043C61" w14:textId="02A554E3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C90D89">
        <w:rPr>
          <w:rFonts w:ascii="Times New Roman" w:hAnsi="Times New Roman" w:cs="Times New Roman"/>
          <w:b/>
          <w:bCs/>
        </w:rPr>
        <w:t>B) Mérito</w:t>
      </w:r>
    </w:p>
    <w:p w14:paraId="41CA22C9" w14:textId="77777777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Cs/>
        </w:rPr>
      </w:pPr>
    </w:p>
    <w:p w14:paraId="0843FC83" w14:textId="332127D6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  <w:bCs/>
          <w:u w:val="single"/>
        </w:rPr>
      </w:pPr>
      <w:r w:rsidRPr="00C90D89">
        <w:rPr>
          <w:rFonts w:ascii="Times New Roman" w:hAnsi="Times New Roman" w:cs="Times New Roman"/>
          <w:bCs/>
          <w:u w:val="single"/>
        </w:rPr>
        <w:t>2.1. Da pretensão declaratória: invalidade d</w:t>
      </w:r>
      <w:r w:rsidR="007D4196" w:rsidRPr="00C90D89">
        <w:rPr>
          <w:rFonts w:ascii="Times New Roman" w:hAnsi="Times New Roman" w:cs="Times New Roman"/>
          <w:bCs/>
          <w:u w:val="single"/>
        </w:rPr>
        <w:t xml:space="preserve">a Resolução </w:t>
      </w:r>
      <w:r w:rsidR="00525AE4" w:rsidRPr="00C90D89">
        <w:rPr>
          <w:rFonts w:ascii="Times New Roman" w:hAnsi="Times New Roman" w:cs="Times New Roman"/>
          <w:bCs/>
          <w:u w:val="single"/>
        </w:rPr>
        <w:t xml:space="preserve">Normativa </w:t>
      </w:r>
      <w:r w:rsidR="007D4196" w:rsidRPr="00C90D89">
        <w:rPr>
          <w:rFonts w:ascii="Times New Roman" w:hAnsi="Times New Roman" w:cs="Times New Roman"/>
          <w:bCs/>
          <w:u w:val="single"/>
        </w:rPr>
        <w:t>n. 414/2010</w:t>
      </w:r>
      <w:r w:rsidRPr="00C90D89">
        <w:rPr>
          <w:rFonts w:ascii="Times New Roman" w:hAnsi="Times New Roman" w:cs="Times New Roman"/>
          <w:bCs/>
          <w:u w:val="single"/>
        </w:rPr>
        <w:t xml:space="preserve"> </w:t>
      </w:r>
    </w:p>
    <w:p w14:paraId="055B3F0E" w14:textId="77777777" w:rsidR="00EA5254" w:rsidRPr="00C90D89" w:rsidRDefault="00EA5254" w:rsidP="00EA5254">
      <w:pPr>
        <w:spacing w:line="360" w:lineRule="auto"/>
        <w:rPr>
          <w:rFonts w:ascii="Times New Roman" w:hAnsi="Times New Roman" w:cs="Times New Roman"/>
          <w:u w:val="single"/>
        </w:rPr>
      </w:pPr>
    </w:p>
    <w:p w14:paraId="1D75A80F" w14:textId="6251436A" w:rsidR="00EA5254" w:rsidRPr="00C90D89" w:rsidRDefault="00EA5254" w:rsidP="00EA5254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C90D89">
        <w:rPr>
          <w:rFonts w:ascii="Times New Roman" w:hAnsi="Times New Roman" w:cs="Times New Roman"/>
          <w:bCs/>
          <w:i/>
        </w:rPr>
        <w:t xml:space="preserve">2.1.1. Primeira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 xml:space="preserve">: inconstitucionalidade </w:t>
      </w:r>
      <w:r w:rsidR="00BB4FBD" w:rsidRPr="00C90D89">
        <w:rPr>
          <w:rFonts w:ascii="Times New Roman" w:hAnsi="Times New Roman" w:cs="Times New Roman"/>
          <w:bCs/>
          <w:i/>
        </w:rPr>
        <w:t xml:space="preserve">pela </w:t>
      </w:r>
      <w:r w:rsidRPr="00C90D89">
        <w:rPr>
          <w:rFonts w:ascii="Times New Roman" w:hAnsi="Times New Roman" w:cs="Times New Roman"/>
          <w:bCs/>
          <w:i/>
        </w:rPr>
        <w:t xml:space="preserve">afronta ao princípio da </w:t>
      </w:r>
      <w:r w:rsidR="00BB4FBD" w:rsidRPr="00C90D89">
        <w:rPr>
          <w:rFonts w:ascii="Times New Roman" w:hAnsi="Times New Roman" w:cs="Times New Roman"/>
          <w:bCs/>
          <w:i/>
        </w:rPr>
        <w:t>reserva de lei</w:t>
      </w:r>
      <w:r w:rsidRPr="00C90D89">
        <w:rPr>
          <w:rFonts w:ascii="Times New Roman" w:hAnsi="Times New Roman" w:cs="Times New Roman"/>
          <w:bCs/>
          <w:i/>
        </w:rPr>
        <w:t xml:space="preserve"> </w:t>
      </w:r>
      <w:r w:rsidR="00BB4FBD" w:rsidRPr="00C90D89">
        <w:rPr>
          <w:rFonts w:ascii="Times New Roman" w:hAnsi="Times New Roman" w:cs="Times New Roman"/>
          <w:bCs/>
          <w:i/>
        </w:rPr>
        <w:t xml:space="preserve">(disposições novas do ato normativo que criam obrigações aos municípios diferentes e contrárias à Constituição, à lei e a atos </w:t>
      </w:r>
      <w:proofErr w:type="spellStart"/>
      <w:r w:rsidR="00BB4FBD" w:rsidRPr="00C90D89">
        <w:rPr>
          <w:rFonts w:ascii="Times New Roman" w:hAnsi="Times New Roman" w:cs="Times New Roman"/>
          <w:bCs/>
          <w:i/>
        </w:rPr>
        <w:t>infralegais</w:t>
      </w:r>
      <w:proofErr w:type="spellEnd"/>
      <w:r w:rsidR="00BB4FBD" w:rsidRPr="00C90D89">
        <w:rPr>
          <w:rFonts w:ascii="Times New Roman" w:hAnsi="Times New Roman" w:cs="Times New Roman"/>
          <w:bCs/>
          <w:i/>
        </w:rPr>
        <w:t xml:space="preserve"> de escalão superior)</w:t>
      </w:r>
    </w:p>
    <w:p w14:paraId="69641D24" w14:textId="5AE7798B" w:rsidR="00EA5254" w:rsidRPr="00C90D89" w:rsidRDefault="00EA5254" w:rsidP="00EA5254">
      <w:pPr>
        <w:spacing w:line="360" w:lineRule="auto"/>
        <w:rPr>
          <w:rFonts w:ascii="Times New Roman" w:hAnsi="Times New Roman" w:cs="Times New Roman"/>
          <w:u w:val="single"/>
        </w:rPr>
      </w:pPr>
    </w:p>
    <w:p w14:paraId="73DB7098" w14:textId="131FB46C" w:rsidR="00E97ABF" w:rsidRPr="00C90D89" w:rsidRDefault="0023677C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Como é sabido, podem-se falar em diversas funções estatais, sendo as mais importantes as funções legislativa, executiva e jurisdicional. A competência do Estado – em sentido lato – para editar normas</w:t>
      </w:r>
      <w:r w:rsidR="00455309">
        <w:rPr>
          <w:rFonts w:ascii="Times New Roman" w:hAnsi="Times New Roman" w:cs="Times New Roman"/>
        </w:rPr>
        <w:t xml:space="preserve"> legais deve ser compatibilizada</w:t>
      </w:r>
      <w:r w:rsidRPr="00C90D89">
        <w:rPr>
          <w:rFonts w:ascii="Times New Roman" w:hAnsi="Times New Roman" w:cs="Times New Roman"/>
        </w:rPr>
        <w:t xml:space="preserve"> com a sua competência para executar os comandos dessas normas legais. Trata-se </w:t>
      </w:r>
      <w:r w:rsidR="00455309">
        <w:rPr>
          <w:rFonts w:ascii="Times New Roman" w:hAnsi="Times New Roman" w:cs="Times New Roman"/>
        </w:rPr>
        <w:t xml:space="preserve">aqui </w:t>
      </w:r>
      <w:r w:rsidRPr="00C90D89">
        <w:rPr>
          <w:rFonts w:ascii="Times New Roman" w:hAnsi="Times New Roman" w:cs="Times New Roman"/>
        </w:rPr>
        <w:t xml:space="preserve">do chamado princípio da legalidade administrativa, </w:t>
      </w:r>
      <w:r w:rsidR="00455309" w:rsidRPr="00C90D89">
        <w:rPr>
          <w:rFonts w:ascii="Times New Roman" w:hAnsi="Times New Roman" w:cs="Times New Roman"/>
        </w:rPr>
        <w:t xml:space="preserve">constante do </w:t>
      </w:r>
      <w:proofErr w:type="spellStart"/>
      <w:r w:rsidR="00455309">
        <w:rPr>
          <w:rFonts w:ascii="Times New Roman" w:hAnsi="Times New Roman" w:cs="Times New Roman"/>
        </w:rPr>
        <w:t>do</w:t>
      </w:r>
      <w:proofErr w:type="spellEnd"/>
      <w:r w:rsidR="00455309">
        <w:rPr>
          <w:rFonts w:ascii="Times New Roman" w:hAnsi="Times New Roman" w:cs="Times New Roman"/>
        </w:rPr>
        <w:t xml:space="preserve"> </w:t>
      </w:r>
      <w:r w:rsidR="00455309" w:rsidRPr="00C90D89">
        <w:rPr>
          <w:rFonts w:ascii="Times New Roman" w:hAnsi="Times New Roman" w:cs="Times New Roman"/>
        </w:rPr>
        <w:t xml:space="preserve">art. 5º, II </w:t>
      </w:r>
      <w:r w:rsidR="00455309">
        <w:rPr>
          <w:rFonts w:ascii="Times New Roman" w:hAnsi="Times New Roman" w:cs="Times New Roman"/>
        </w:rPr>
        <w:t xml:space="preserve">c/c art. 37, </w:t>
      </w:r>
      <w:r w:rsidR="00455309" w:rsidRPr="00455309">
        <w:rPr>
          <w:rFonts w:ascii="Times New Roman" w:hAnsi="Times New Roman" w:cs="Times New Roman"/>
          <w:i/>
        </w:rPr>
        <w:t>caput</w:t>
      </w:r>
      <w:r w:rsidR="00455309">
        <w:rPr>
          <w:rFonts w:ascii="Times New Roman" w:hAnsi="Times New Roman" w:cs="Times New Roman"/>
        </w:rPr>
        <w:t xml:space="preserve">, </w:t>
      </w:r>
      <w:r w:rsidR="00455309" w:rsidRPr="00C90D89">
        <w:rPr>
          <w:rFonts w:ascii="Times New Roman" w:hAnsi="Times New Roman" w:cs="Times New Roman"/>
        </w:rPr>
        <w:t xml:space="preserve">da Constituição Federal, </w:t>
      </w:r>
      <w:r w:rsidRPr="00C90D89">
        <w:rPr>
          <w:rFonts w:ascii="Times New Roman" w:hAnsi="Times New Roman" w:cs="Times New Roman"/>
        </w:rPr>
        <w:t xml:space="preserve">o qual </w:t>
      </w:r>
      <w:r w:rsidR="00455309">
        <w:rPr>
          <w:rFonts w:ascii="Times New Roman" w:hAnsi="Times New Roman" w:cs="Times New Roman"/>
        </w:rPr>
        <w:t xml:space="preserve">com a mesma natureza da </w:t>
      </w:r>
      <w:r w:rsidRPr="00C90D89">
        <w:rPr>
          <w:rFonts w:ascii="Times New Roman" w:hAnsi="Times New Roman" w:cs="Times New Roman"/>
        </w:rPr>
        <w:t xml:space="preserve">reserva de lei estabelecida para todas as relações jurídicas. </w:t>
      </w:r>
      <w:r w:rsidR="00E97ABF" w:rsidRPr="00C90D89">
        <w:rPr>
          <w:rFonts w:ascii="Times New Roman" w:hAnsi="Times New Roman" w:cs="Times New Roman"/>
        </w:rPr>
        <w:t xml:space="preserve">Sabe-se que </w:t>
      </w:r>
      <w:r w:rsidR="003644E7" w:rsidRPr="00C90D89">
        <w:rPr>
          <w:rFonts w:ascii="Times New Roman" w:hAnsi="Times New Roman" w:cs="Times New Roman"/>
        </w:rPr>
        <w:t>a legalidade administrativa guarda características próprias, uma vez que, enquanto ao particular é vedado fazer apenas o que a lei proíbe, à Administração possui os seus espaços de liberdade de acordo com o que a lei determina. Porém, ainda que de características diversas, essas legalidades não diferem em um ponto: a fiel obediência ao princípio da reserva de lei</w:t>
      </w:r>
      <w:r w:rsidR="00077D75" w:rsidRPr="00C90D89">
        <w:rPr>
          <w:rFonts w:ascii="Times New Roman" w:hAnsi="Times New Roman" w:cs="Times New Roman"/>
        </w:rPr>
        <w:t>.</w:t>
      </w:r>
    </w:p>
    <w:p w14:paraId="4F1FE1E0" w14:textId="77777777" w:rsidR="00E97ABF" w:rsidRPr="00C90D89" w:rsidRDefault="00E97ABF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4830D2A" w14:textId="032AFF48" w:rsidR="007B59BB" w:rsidRPr="00C90D89" w:rsidRDefault="00E97ABF" w:rsidP="007B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Muitas vezes, o exame da legalidade dos atos administrativos está em uma conhecida lição de Teoria do Direito</w:t>
      </w:r>
      <w:r w:rsidR="008F44D6" w:rsidRPr="00C90D89">
        <w:rPr>
          <w:rFonts w:ascii="Times New Roman" w:hAnsi="Times New Roman" w:cs="Times New Roman"/>
        </w:rPr>
        <w:t xml:space="preserve">, representada pela “pirâmide de Kelsen”, constante em entender se o ato de escalão inferior (especialmente os administrativos, que executam as leis) compatibilizam-se com os atos de escalão superior (sejam eles dispositivos constitucionais ou legais ou, mesmo, atos </w:t>
      </w:r>
      <w:proofErr w:type="spellStart"/>
      <w:r w:rsidR="008F44D6" w:rsidRPr="00C90D89">
        <w:rPr>
          <w:rFonts w:ascii="Times New Roman" w:hAnsi="Times New Roman" w:cs="Times New Roman"/>
        </w:rPr>
        <w:t>infralegais</w:t>
      </w:r>
      <w:proofErr w:type="spellEnd"/>
      <w:r w:rsidR="008F44D6" w:rsidRPr="00C90D89">
        <w:rPr>
          <w:rFonts w:ascii="Times New Roman" w:hAnsi="Times New Roman" w:cs="Times New Roman"/>
        </w:rPr>
        <w:t xml:space="preserve">, mas de grau superior </w:t>
      </w:r>
      <w:r w:rsidR="00BB2E54">
        <w:rPr>
          <w:rFonts w:ascii="Times New Roman" w:hAnsi="Times New Roman" w:cs="Times New Roman"/>
        </w:rPr>
        <w:t xml:space="preserve">a outros </w:t>
      </w:r>
      <w:r w:rsidR="008F44D6" w:rsidRPr="00C90D89">
        <w:rPr>
          <w:rFonts w:ascii="Times New Roman" w:hAnsi="Times New Roman" w:cs="Times New Roman"/>
        </w:rPr>
        <w:t>em hierarquia)</w:t>
      </w:r>
      <w:r w:rsidRPr="00C90D89">
        <w:rPr>
          <w:rFonts w:ascii="Times New Roman" w:hAnsi="Times New Roman" w:cs="Times New Roman"/>
        </w:rPr>
        <w:t xml:space="preserve">. Ainda que conhecida, é usual sua má-compreensão. Isso porque, comumente, diz-se que os atos administrativos não podem dizer algo diferente do que dizem os atos legais (as leis em sentido </w:t>
      </w:r>
      <w:r w:rsidR="009D7C1D" w:rsidRPr="00C90D89">
        <w:rPr>
          <w:rFonts w:ascii="Times New Roman" w:hAnsi="Times New Roman" w:cs="Times New Roman"/>
        </w:rPr>
        <w:t>estrito</w:t>
      </w:r>
      <w:r w:rsidRPr="00C90D89">
        <w:rPr>
          <w:rFonts w:ascii="Times New Roman" w:hAnsi="Times New Roman" w:cs="Times New Roman"/>
        </w:rPr>
        <w:t xml:space="preserve">), uma vez que o princípio da reserva de lei implica que esses atos não podem inovar no mundo jurídico. </w:t>
      </w:r>
      <w:r w:rsidR="007B59BB" w:rsidRPr="00C90D89">
        <w:rPr>
          <w:rFonts w:ascii="Times New Roman" w:hAnsi="Times New Roman" w:cs="Times New Roman"/>
        </w:rPr>
        <w:t xml:space="preserve">Os atos administrativos, porém, podem </w:t>
      </w:r>
      <w:r w:rsidR="00BB2E54">
        <w:rPr>
          <w:rFonts w:ascii="Times New Roman" w:hAnsi="Times New Roman" w:cs="Times New Roman"/>
        </w:rPr>
        <w:t xml:space="preserve">sim </w:t>
      </w:r>
      <w:r w:rsidR="007B59BB" w:rsidRPr="00C90D89">
        <w:rPr>
          <w:rFonts w:ascii="Times New Roman" w:hAnsi="Times New Roman" w:cs="Times New Roman"/>
        </w:rPr>
        <w:t>dizer diferente das leis. Não podem é as desdizer ou, dizendo a mais, ser fonte de uma obrigação</w:t>
      </w:r>
      <w:r w:rsidR="00BB2E54">
        <w:rPr>
          <w:rFonts w:ascii="Times New Roman" w:hAnsi="Times New Roman" w:cs="Times New Roman"/>
        </w:rPr>
        <w:t xml:space="preserve"> nova não extraível d</w:t>
      </w:r>
      <w:r w:rsidR="007B59BB" w:rsidRPr="00C90D89">
        <w:rPr>
          <w:rFonts w:ascii="Times New Roman" w:hAnsi="Times New Roman" w:cs="Times New Roman"/>
        </w:rPr>
        <w:t>a lei</w:t>
      </w:r>
      <w:r w:rsidR="00BB2E54">
        <w:rPr>
          <w:rFonts w:ascii="Times New Roman" w:hAnsi="Times New Roman" w:cs="Times New Roman"/>
        </w:rPr>
        <w:t xml:space="preserve"> de referência</w:t>
      </w:r>
      <w:r w:rsidR="007B59BB" w:rsidRPr="00C90D89">
        <w:rPr>
          <w:rFonts w:ascii="Times New Roman" w:hAnsi="Times New Roman" w:cs="Times New Roman"/>
        </w:rPr>
        <w:t>. Nas palavras de Maria Sylvia Zanella Di Pietro,</w:t>
      </w:r>
      <w:r w:rsidR="00BB2E54">
        <w:rPr>
          <w:rFonts w:ascii="Times New Roman" w:hAnsi="Times New Roman" w:cs="Times New Roman"/>
        </w:rPr>
        <w:t xml:space="preserve"> enfrentando a </w:t>
      </w:r>
      <w:r w:rsidR="00BB2E54">
        <w:rPr>
          <w:rFonts w:ascii="Times New Roman" w:hAnsi="Times New Roman" w:cs="Times New Roman"/>
        </w:rPr>
        <w:tab/>
        <w:t>questão já sob o ângulo das agências reguladoras, que interesse mais particularmente a esta ação,</w:t>
      </w:r>
      <w:r w:rsidR="007B59BB" w:rsidRPr="00C90D89">
        <w:rPr>
          <w:rFonts w:ascii="Times New Roman" w:hAnsi="Times New Roman" w:cs="Times New Roman"/>
        </w:rPr>
        <w:t xml:space="preserve"> “</w:t>
      </w:r>
      <w:r w:rsidR="007B59BB" w:rsidRPr="00C90D89">
        <w:rPr>
          <w:rFonts w:ascii="Times New Roman" w:hAnsi="Times New Roman" w:cs="Times New Roman"/>
          <w:i/>
        </w:rPr>
        <w:t>o que as agências não podem fazer, porque falta o indispensável fundamento constitucional, é baixar regras de conduta, unilateralmente, inovando na ordem jurídica, afetando direitos individuais, substituindo-se ao legislador.</w:t>
      </w:r>
      <w:r w:rsidR="007B59BB" w:rsidRPr="00C90D89">
        <w:rPr>
          <w:rFonts w:ascii="Times New Roman" w:hAnsi="Times New Roman" w:cs="Times New Roman"/>
        </w:rPr>
        <w:t>”</w:t>
      </w:r>
      <w:r w:rsidR="007B59BB" w:rsidRPr="00C90D89">
        <w:rPr>
          <w:rStyle w:val="FootnoteReference"/>
          <w:rFonts w:ascii="Times New Roman" w:hAnsi="Times New Roman" w:cs="Times New Roman"/>
          <w:sz w:val="22"/>
          <w:szCs w:val="22"/>
        </w:rPr>
        <w:footnoteReference w:id="6"/>
      </w:r>
    </w:p>
    <w:p w14:paraId="3042BA39" w14:textId="77777777" w:rsidR="007B59BB" w:rsidRPr="00C90D89" w:rsidRDefault="007B59BB" w:rsidP="007B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5292F56" w14:textId="033A5178" w:rsidR="00E97ABF" w:rsidRPr="00C90D89" w:rsidRDefault="007B59BB" w:rsidP="007B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Essa importante nuance é bem explicitada no Parecer n. 01/2005 (doc. </w:t>
      </w:r>
      <w:r w:rsidRPr="00C90D89">
        <w:rPr>
          <w:rFonts w:ascii="Times New Roman" w:hAnsi="Times New Roman" w:cs="Times New Roman"/>
          <w:color w:val="FF0000"/>
        </w:rPr>
        <w:t>XX</w:t>
      </w:r>
      <w:r w:rsidRPr="00C90D89">
        <w:rPr>
          <w:rFonts w:ascii="Times New Roman" w:hAnsi="Times New Roman" w:cs="Times New Roman"/>
        </w:rPr>
        <w:t>), onde se lê</w:t>
      </w:r>
      <w:r w:rsidR="00BB2E54">
        <w:rPr>
          <w:rFonts w:ascii="Times New Roman" w:hAnsi="Times New Roman" w:cs="Times New Roman"/>
        </w:rPr>
        <w:t>, pedindo a vênia da transcrição</w:t>
      </w:r>
      <w:r w:rsidRPr="00C90D89">
        <w:rPr>
          <w:rFonts w:ascii="Times New Roman" w:hAnsi="Times New Roman" w:cs="Times New Roman"/>
        </w:rPr>
        <w:t xml:space="preserve">: </w:t>
      </w:r>
      <w:r w:rsidR="00E97ABF" w:rsidRPr="00C90D89">
        <w:rPr>
          <w:rFonts w:ascii="Times New Roman" w:hAnsi="Times New Roman" w:cs="Times New Roman"/>
        </w:rPr>
        <w:t xml:space="preserve"> </w:t>
      </w:r>
    </w:p>
    <w:p w14:paraId="5A0CBFF0" w14:textId="77777777" w:rsidR="00E97ABF" w:rsidRPr="00C90D89" w:rsidRDefault="00E97ABF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673CDE1" w14:textId="78FDFCF6" w:rsidR="00EA5254" w:rsidRPr="00C90D89" w:rsidRDefault="007B59BB" w:rsidP="007B59B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[...] </w:t>
      </w:r>
      <w:r w:rsidR="00EA5254"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a doutrina da hierarquização das normas não impossibilita que os atos normativos de escalões inferiores, mesmo os </w:t>
      </w:r>
      <w:proofErr w:type="spellStart"/>
      <w:r w:rsidR="00EA5254"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infralegais</w:t>
      </w:r>
      <w:proofErr w:type="spellEnd"/>
      <w:r w:rsidR="00EA5254"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prescrevam algo diferente dos atos de escalão superior. A própria estrutura piramidal, imagem sob a qual a doutrina é concebida, desde Kelsen, exige esse alargamento dos comandos normativos – do contrário, haveria uma tautológica estrutura retangular, onde as normas apenas repetiriam a si mesmas. O que não se pode admitir, dentro dessa estrutura hierárquica, é: </w:t>
      </w:r>
    </w:p>
    <w:p w14:paraId="73ADFC1D" w14:textId="42DE56FD" w:rsidR="00EA5254" w:rsidRPr="00C90D89" w:rsidRDefault="00EA5254" w:rsidP="007B59BB">
      <w:pPr>
        <w:widowControl w:val="0"/>
        <w:autoSpaceDE w:val="0"/>
        <w:autoSpaceDN w:val="0"/>
        <w:adjustRightInd w:val="0"/>
        <w:ind w:left="2835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i) prescrever, um ato de escalão inferior, norma </w:t>
      </w:r>
      <w:r w:rsidRPr="00C90D89">
        <w:rPr>
          <w:rFonts w:ascii="Times New Roman" w:eastAsia="Times New Roman" w:hAnsi="Times New Roman" w:cs="Times New Roman"/>
          <w:i/>
          <w:sz w:val="22"/>
          <w:szCs w:val="22"/>
          <w:lang w:eastAsia="pt-BR"/>
        </w:rPr>
        <w:t>diferente e contrária</w:t>
      </w: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do ato de escalão superior (isso como mandamento da própria validade das normas em que nosso sistema é concebido, onde </w:t>
      </w:r>
      <w:r w:rsidRPr="00C90D89">
        <w:rPr>
          <w:rFonts w:ascii="Times New Roman" w:hAnsi="Times New Roman" w:cs="Times New Roman"/>
          <w:sz w:val="22"/>
          <w:szCs w:val="22"/>
        </w:rPr>
        <w:t>a lei “[...]</w:t>
      </w:r>
      <w:r w:rsidRPr="00C90D89">
        <w:rPr>
          <w:rFonts w:ascii="Times New Roman" w:hAnsi="Times New Roman" w:cs="Times New Roman"/>
          <w:i/>
          <w:sz w:val="22"/>
          <w:szCs w:val="22"/>
        </w:rPr>
        <w:t xml:space="preserve"> é fonte primária do direito, ao passo que o regulamento é fonte secundária, inferior</w:t>
      </w:r>
      <w:r w:rsidRPr="00C90D89">
        <w:rPr>
          <w:rFonts w:ascii="Times New Roman" w:hAnsi="Times New Roman" w:cs="Times New Roman"/>
          <w:sz w:val="22"/>
          <w:szCs w:val="22"/>
        </w:rPr>
        <w:t>”</w:t>
      </w: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); </w:t>
      </w:r>
    </w:p>
    <w:p w14:paraId="74ADDA65" w14:textId="77777777" w:rsidR="00EA5254" w:rsidRPr="00C90D89" w:rsidRDefault="00EA5254" w:rsidP="007B59BB">
      <w:pPr>
        <w:widowControl w:val="0"/>
        <w:autoSpaceDE w:val="0"/>
        <w:autoSpaceDN w:val="0"/>
        <w:adjustRightInd w:val="0"/>
        <w:ind w:left="2835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proofErr w:type="spellStart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ii</w:t>
      </w:r>
      <w:proofErr w:type="spellEnd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) prescrever, um ato de escalão </w:t>
      </w:r>
      <w:proofErr w:type="spellStart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infralegal</w:t>
      </w:r>
      <w:proofErr w:type="spellEnd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norma constituidora de obrigação </w:t>
      </w:r>
      <w:r w:rsidRPr="00C90D89">
        <w:rPr>
          <w:rFonts w:ascii="Times New Roman" w:eastAsia="Times New Roman" w:hAnsi="Times New Roman" w:cs="Times New Roman"/>
          <w:i/>
          <w:sz w:val="22"/>
          <w:szCs w:val="22"/>
          <w:lang w:eastAsia="pt-BR"/>
        </w:rPr>
        <w:t xml:space="preserve">nova e não </w:t>
      </w:r>
      <w:proofErr w:type="spellStart"/>
      <w:r w:rsidRPr="00C90D89">
        <w:rPr>
          <w:rFonts w:ascii="Times New Roman" w:eastAsia="Times New Roman" w:hAnsi="Times New Roman" w:cs="Times New Roman"/>
          <w:i/>
          <w:sz w:val="22"/>
          <w:szCs w:val="22"/>
          <w:lang w:eastAsia="pt-BR"/>
        </w:rPr>
        <w:t>dessumível</w:t>
      </w:r>
      <w:proofErr w:type="spellEnd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dos atos legais e supralegais que lhe são correspondentes (isso como mandamento d</w:t>
      </w:r>
      <w:r w:rsidRPr="00C90D89">
        <w:rPr>
          <w:rFonts w:ascii="Times New Roman" w:hAnsi="Times New Roman" w:cs="Times New Roman"/>
          <w:sz w:val="22"/>
          <w:szCs w:val="22"/>
        </w:rPr>
        <w:t>o art. 5º, II, da Constituição Federal: “</w:t>
      </w:r>
      <w:r w:rsidRPr="00C90D89">
        <w:rPr>
          <w:rFonts w:ascii="Times New Roman" w:hAnsi="Times New Roman" w:cs="Times New Roman"/>
          <w:i/>
          <w:sz w:val="22"/>
          <w:szCs w:val="22"/>
        </w:rPr>
        <w:t>ninguém será obrigado a fazer ou deixar de fazer alguma coisa senão em virtude de lei</w:t>
      </w:r>
      <w:r w:rsidRPr="00C90D89">
        <w:rPr>
          <w:rFonts w:ascii="Times New Roman" w:hAnsi="Times New Roman" w:cs="Times New Roman"/>
          <w:sz w:val="22"/>
          <w:szCs w:val="22"/>
        </w:rPr>
        <w:t>”)</w:t>
      </w: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.</w:t>
      </w:r>
    </w:p>
    <w:p w14:paraId="0E969A77" w14:textId="771DE995" w:rsidR="00EA5254" w:rsidRPr="00C90D89" w:rsidRDefault="00EA5254" w:rsidP="007B59B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O próprio Hans Kelsen, tanto incompreendido quanto não lido, ao conceber a estrutura hierarquizada piramidal do direito, ressalvou essa ausência de incompatibilidade quando a norma em hierarquia inferior harmoniza-se com a de hierarquia posterior, alargando-a, mas não a desdizendo. </w:t>
      </w:r>
      <w:r w:rsidR="007B59BB" w:rsidRPr="00C90D89">
        <w:rPr>
          <w:rFonts w:ascii="Times New Roman" w:hAnsi="Times New Roman" w:cs="Times New Roman"/>
          <w:sz w:val="22"/>
          <w:szCs w:val="22"/>
        </w:rPr>
        <w:t xml:space="preserve">[...] </w:t>
      </w:r>
    </w:p>
    <w:p w14:paraId="42B08AAB" w14:textId="5196EFBD" w:rsidR="00EA5254" w:rsidRPr="00C90D89" w:rsidRDefault="00EA5254" w:rsidP="007B59B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 w:val="22"/>
          <w:szCs w:val="22"/>
        </w:rPr>
        <w:t>Há de se substituir o conceito de “diferença” entre as normas nos “diferentes” escalões por um modelo de “conformação” das obrigações de fonte legislativa, no qual os atos administrativos circunscrevem-se à “moldura” das obrigações constitucionais e legais, e devem obediência aos limites estabelecidos na Constituição e nas leis, quer objetivos (de conteúdo), quer subjetivos (de competência).</w:t>
      </w:r>
    </w:p>
    <w:p w14:paraId="2678142E" w14:textId="77777777" w:rsidR="007B59BB" w:rsidRPr="00C90D89" w:rsidRDefault="007B59BB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9C487E2" w14:textId="33A4F702" w:rsidR="00EA5254" w:rsidRPr="00C90D89" w:rsidRDefault="007B59BB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Olhando para o caso em tela, verifica-se que o art. 218 da Resolução Normativa n. 414 feriu os dois pressupostos contemplados pelo princípio da reserva de lei. Isso porque tal ato exacerbou-se aos comandos legais, criando aos Municípios uma obrigação não constante de lei</w:t>
      </w:r>
      <w:r w:rsidR="00BB2E54">
        <w:rPr>
          <w:rFonts w:ascii="Times New Roman" w:hAnsi="Times New Roman" w:cs="Times New Roman"/>
        </w:rPr>
        <w:t xml:space="preserve"> </w:t>
      </w:r>
      <w:r w:rsidR="00BB2E54" w:rsidRPr="00C90D89">
        <w:rPr>
          <w:rFonts w:ascii="Times New Roman" w:hAnsi="Times New Roman" w:cs="Times New Roman"/>
        </w:rPr>
        <w:t>(receber os ativos de iluminação pública e prestar os serviços relacionados a sua instalação)</w:t>
      </w:r>
      <w:r w:rsidR="00BB2E54">
        <w:rPr>
          <w:rFonts w:ascii="Times New Roman" w:hAnsi="Times New Roman" w:cs="Times New Roman"/>
        </w:rPr>
        <w:t xml:space="preserve"> e</w:t>
      </w:r>
      <w:r w:rsidRPr="00C90D89">
        <w:rPr>
          <w:rFonts w:ascii="Times New Roman" w:hAnsi="Times New Roman" w:cs="Times New Roman"/>
        </w:rPr>
        <w:t xml:space="preserve">, ainda, desdisse a </w:t>
      </w:r>
      <w:r w:rsidR="00A32392" w:rsidRPr="00C90D89">
        <w:rPr>
          <w:rFonts w:ascii="Times New Roman" w:hAnsi="Times New Roman" w:cs="Times New Roman"/>
        </w:rPr>
        <w:t xml:space="preserve">Constituição, </w:t>
      </w:r>
      <w:r w:rsidRPr="00C90D89">
        <w:rPr>
          <w:rFonts w:ascii="Times New Roman" w:hAnsi="Times New Roman" w:cs="Times New Roman"/>
        </w:rPr>
        <w:t>lei</w:t>
      </w:r>
      <w:r w:rsidR="00A32392" w:rsidRPr="00C90D89">
        <w:rPr>
          <w:rFonts w:ascii="Times New Roman" w:hAnsi="Times New Roman" w:cs="Times New Roman"/>
        </w:rPr>
        <w:t xml:space="preserve">s e atos </w:t>
      </w:r>
      <w:proofErr w:type="spellStart"/>
      <w:r w:rsidR="00A32392" w:rsidRPr="00C90D89">
        <w:rPr>
          <w:rFonts w:ascii="Times New Roman" w:hAnsi="Times New Roman" w:cs="Times New Roman"/>
        </w:rPr>
        <w:t>infralegais</w:t>
      </w:r>
      <w:proofErr w:type="spellEnd"/>
      <w:r w:rsidRPr="00C90D89">
        <w:rPr>
          <w:rFonts w:ascii="Times New Roman" w:hAnsi="Times New Roman" w:cs="Times New Roman"/>
        </w:rPr>
        <w:t>.</w:t>
      </w:r>
      <w:r w:rsidR="00444076" w:rsidRPr="00C90D89">
        <w:rPr>
          <w:rFonts w:ascii="Times New Roman" w:hAnsi="Times New Roman" w:cs="Times New Roman"/>
        </w:rPr>
        <w:t xml:space="preserve"> Veja-se.</w:t>
      </w:r>
    </w:p>
    <w:p w14:paraId="61D75D5C" w14:textId="77777777" w:rsidR="00A32392" w:rsidRPr="00C90D89" w:rsidRDefault="00A32392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256DE9" w14:textId="5BB79CB7" w:rsidR="00A32392" w:rsidRPr="00C90D89" w:rsidRDefault="00434F22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resolução normativa </w:t>
      </w:r>
      <w:r w:rsidRPr="00C90D89">
        <w:rPr>
          <w:rFonts w:ascii="Times New Roman" w:hAnsi="Times New Roman" w:cs="Times New Roman"/>
          <w:i/>
        </w:rPr>
        <w:t>fere a Constituição</w:t>
      </w:r>
      <w:r w:rsidRPr="00C90D89">
        <w:rPr>
          <w:rFonts w:ascii="Times New Roman" w:hAnsi="Times New Roman" w:cs="Times New Roman"/>
        </w:rPr>
        <w:t xml:space="preserve"> por modificar </w:t>
      </w:r>
      <w:r w:rsidR="00444076" w:rsidRPr="00C90D89">
        <w:rPr>
          <w:rFonts w:ascii="Times New Roman" w:hAnsi="Times New Roman" w:cs="Times New Roman"/>
        </w:rPr>
        <w:t xml:space="preserve">a estrutura dos bens e </w:t>
      </w:r>
      <w:r w:rsidRPr="00C90D89">
        <w:rPr>
          <w:rFonts w:ascii="Times New Roman" w:hAnsi="Times New Roman" w:cs="Times New Roman"/>
        </w:rPr>
        <w:t>competências constitucionais</w:t>
      </w:r>
      <w:r w:rsidR="00444076" w:rsidRPr="00C90D89">
        <w:rPr>
          <w:rFonts w:ascii="Times New Roman" w:hAnsi="Times New Roman" w:cs="Times New Roman"/>
        </w:rPr>
        <w:t xml:space="preserve"> e materiais (itens 2.1.2 e 2.1.3 desta petição</w:t>
      </w:r>
      <w:r w:rsidRPr="00C90D89">
        <w:rPr>
          <w:rFonts w:ascii="Times New Roman" w:hAnsi="Times New Roman" w:cs="Times New Roman"/>
        </w:rPr>
        <w:t>)</w:t>
      </w:r>
      <w:r w:rsidR="00444076" w:rsidRPr="00C90D89">
        <w:rPr>
          <w:rFonts w:ascii="Times New Roman" w:hAnsi="Times New Roman" w:cs="Times New Roman"/>
        </w:rPr>
        <w:t>.</w:t>
      </w:r>
    </w:p>
    <w:p w14:paraId="61138028" w14:textId="77777777" w:rsidR="00444076" w:rsidRPr="00C90D89" w:rsidRDefault="00444076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790B82F" w14:textId="56F95090" w:rsidR="00EA5254" w:rsidRPr="00C90D89" w:rsidRDefault="00444076" w:rsidP="00444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Ela </w:t>
      </w:r>
      <w:r w:rsidRPr="00C90D89">
        <w:rPr>
          <w:rFonts w:ascii="Times New Roman" w:hAnsi="Times New Roman" w:cs="Times New Roman"/>
          <w:i/>
        </w:rPr>
        <w:t>fere</w:t>
      </w:r>
      <w:r w:rsidR="00E7357D"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i/>
        </w:rPr>
        <w:t>comandos legais</w:t>
      </w:r>
      <w:r w:rsidR="00E7357D" w:rsidRPr="00C90D89">
        <w:rPr>
          <w:rFonts w:ascii="Times New Roman" w:hAnsi="Times New Roman" w:cs="Times New Roman"/>
        </w:rPr>
        <w:t xml:space="preserve"> também</w:t>
      </w:r>
      <w:r w:rsidRPr="00C90D89">
        <w:rPr>
          <w:rFonts w:ascii="Times New Roman" w:hAnsi="Times New Roman" w:cs="Times New Roman"/>
        </w:rPr>
        <w:t>. Isso ocorre</w:t>
      </w:r>
      <w:r w:rsidR="006C19B8" w:rsidRPr="00C90D89">
        <w:rPr>
          <w:rFonts w:ascii="Times New Roman" w:hAnsi="Times New Roman" w:cs="Times New Roman"/>
        </w:rPr>
        <w:t xml:space="preserve"> quando mexe no equilíbrio econômico-financeiro do contrato de concessão e quando põe em risco a adequação e continuidade do serviço (itens 2.1.4 e 2.1</w:t>
      </w:r>
      <w:r w:rsidR="0017238D">
        <w:rPr>
          <w:rFonts w:ascii="Times New Roman" w:hAnsi="Times New Roman" w:cs="Times New Roman"/>
        </w:rPr>
        <w:t>.</w:t>
      </w:r>
      <w:r w:rsidR="006C19B8" w:rsidRPr="00C90D89">
        <w:rPr>
          <w:rFonts w:ascii="Times New Roman" w:hAnsi="Times New Roman" w:cs="Times New Roman"/>
        </w:rPr>
        <w:t>5</w:t>
      </w:r>
      <w:r w:rsidR="0017238D">
        <w:rPr>
          <w:rFonts w:ascii="Times New Roman" w:hAnsi="Times New Roman" w:cs="Times New Roman"/>
        </w:rPr>
        <w:t xml:space="preserve"> desta petição</w:t>
      </w:r>
      <w:r w:rsidR="006C19B8" w:rsidRPr="00C90D89">
        <w:rPr>
          <w:rFonts w:ascii="Times New Roman" w:hAnsi="Times New Roman" w:cs="Times New Roman"/>
        </w:rPr>
        <w:t xml:space="preserve">). E também ocorre pelo fato de </w:t>
      </w:r>
      <w:r w:rsidRPr="00C90D89">
        <w:rPr>
          <w:rFonts w:ascii="Times New Roman" w:hAnsi="Times New Roman" w:cs="Times New Roman"/>
        </w:rPr>
        <w:t xml:space="preserve">a resolução exceder </w:t>
      </w:r>
      <w:r w:rsidR="0017238D">
        <w:rPr>
          <w:rFonts w:ascii="Times New Roman" w:hAnsi="Times New Roman" w:cs="Times New Roman"/>
        </w:rPr>
        <w:t>à</w:t>
      </w:r>
      <w:r w:rsidRPr="00C90D89">
        <w:rPr>
          <w:rFonts w:ascii="Times New Roman" w:hAnsi="Times New Roman" w:cs="Times New Roman"/>
        </w:rPr>
        <w:t xml:space="preserve">s competências </w:t>
      </w:r>
      <w:r w:rsidR="006C19B8" w:rsidRPr="00C90D89">
        <w:rPr>
          <w:rFonts w:ascii="Times New Roman" w:hAnsi="Times New Roman" w:cs="Times New Roman"/>
        </w:rPr>
        <w:t>da</w:t>
      </w:r>
      <w:r w:rsidRPr="00C90D89">
        <w:rPr>
          <w:rFonts w:ascii="Times New Roman" w:hAnsi="Times New Roman" w:cs="Times New Roman"/>
        </w:rPr>
        <w:t xml:space="preserve"> ANEEL, con</w:t>
      </w:r>
      <w:r w:rsidR="006C19B8" w:rsidRPr="00C90D89">
        <w:rPr>
          <w:rFonts w:ascii="Times New Roman" w:hAnsi="Times New Roman" w:cs="Times New Roman"/>
        </w:rPr>
        <w:t>stantes d</w:t>
      </w:r>
      <w:r w:rsidRPr="00C90D89">
        <w:rPr>
          <w:rFonts w:ascii="Times New Roman" w:hAnsi="Times New Roman" w:cs="Times New Roman"/>
        </w:rPr>
        <w:t>o art. 3º da</w:t>
      </w:r>
      <w:r w:rsidR="00EA5254" w:rsidRPr="00C90D89">
        <w:rPr>
          <w:rFonts w:ascii="Times New Roman" w:hAnsi="Times New Roman" w:cs="Times New Roman"/>
        </w:rPr>
        <w:t xml:space="preserve"> Lei n. 9.427/96</w:t>
      </w:r>
      <w:r w:rsidR="006C19B8" w:rsidRPr="00C90D89">
        <w:rPr>
          <w:rFonts w:ascii="Times New Roman" w:hAnsi="Times New Roman" w:cs="Times New Roman"/>
        </w:rPr>
        <w:t>. Ne</w:t>
      </w:r>
      <w:r w:rsidR="0017238D">
        <w:rPr>
          <w:rFonts w:ascii="Times New Roman" w:hAnsi="Times New Roman" w:cs="Times New Roman"/>
        </w:rPr>
        <w:t>ste</w:t>
      </w:r>
      <w:r w:rsidR="006C19B8"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não há competência que possa ser relacionada à modificação dos ativos de iluminação pública e nem poderia haver, uma vez que essa modificação </w:t>
      </w:r>
      <w:r w:rsidR="00584EAC" w:rsidRPr="00C90D89">
        <w:rPr>
          <w:rFonts w:ascii="Times New Roman" w:hAnsi="Times New Roman" w:cs="Times New Roman"/>
        </w:rPr>
        <w:t xml:space="preserve">mexeria no regime de bens públicos da </w:t>
      </w:r>
      <w:r w:rsidR="00D00D6A">
        <w:rPr>
          <w:rFonts w:ascii="Times New Roman" w:hAnsi="Times New Roman" w:cs="Times New Roman"/>
        </w:rPr>
        <w:t>Constituição</w:t>
      </w:r>
      <w:r w:rsidR="00584EAC" w:rsidRPr="00C90D89">
        <w:rPr>
          <w:rFonts w:ascii="Times New Roman" w:hAnsi="Times New Roman" w:cs="Times New Roman"/>
        </w:rPr>
        <w:t>.</w:t>
      </w:r>
    </w:p>
    <w:p w14:paraId="6B80B2A2" w14:textId="77777777" w:rsidR="006C19B8" w:rsidRPr="00C90D89" w:rsidRDefault="006C19B8" w:rsidP="00444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594766F" w14:textId="77777777" w:rsidR="00D00D6A" w:rsidRDefault="006C19B8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E, nessa linha </w:t>
      </w:r>
      <w:r w:rsidR="00707DE3" w:rsidRPr="00C90D89">
        <w:rPr>
          <w:rFonts w:ascii="Times New Roman" w:hAnsi="Times New Roman" w:cs="Times New Roman"/>
        </w:rPr>
        <w:t xml:space="preserve">acerca </w:t>
      </w:r>
      <w:r w:rsidRPr="00C90D89">
        <w:rPr>
          <w:rFonts w:ascii="Times New Roman" w:hAnsi="Times New Roman" w:cs="Times New Roman"/>
        </w:rPr>
        <w:t>da competê</w:t>
      </w:r>
      <w:r w:rsidR="00391EA8" w:rsidRPr="00C90D89">
        <w:rPr>
          <w:rFonts w:ascii="Times New Roman" w:hAnsi="Times New Roman" w:cs="Times New Roman"/>
        </w:rPr>
        <w:t xml:space="preserve">ncia para a regulamentação </w:t>
      </w:r>
      <w:r w:rsidRPr="00C90D89">
        <w:rPr>
          <w:rFonts w:ascii="Times New Roman" w:hAnsi="Times New Roman" w:cs="Times New Roman"/>
        </w:rPr>
        <w:t>(relativo</w:t>
      </w:r>
      <w:r w:rsidR="00584EAC" w:rsidRPr="00C90D89">
        <w:rPr>
          <w:rFonts w:ascii="Times New Roman" w:hAnsi="Times New Roman" w:cs="Times New Roman"/>
        </w:rPr>
        <w:t>, pois,</w:t>
      </w:r>
      <w:r w:rsidRPr="00C90D89">
        <w:rPr>
          <w:rFonts w:ascii="Times New Roman" w:hAnsi="Times New Roman" w:cs="Times New Roman"/>
        </w:rPr>
        <w:t xml:space="preserve"> ao seu requisito </w:t>
      </w:r>
      <w:r w:rsidR="00584EAC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 xml:space="preserve">ubjetivo), a resolução também </w:t>
      </w:r>
      <w:r w:rsidRPr="00C90D89">
        <w:rPr>
          <w:rFonts w:ascii="Times New Roman" w:hAnsi="Times New Roman" w:cs="Times New Roman"/>
          <w:i/>
        </w:rPr>
        <w:t>fere u</w:t>
      </w:r>
      <w:r w:rsidR="00EA5254" w:rsidRPr="00C90D89">
        <w:rPr>
          <w:rFonts w:ascii="Times New Roman" w:hAnsi="Times New Roman" w:cs="Times New Roman"/>
          <w:i/>
        </w:rPr>
        <w:t xml:space="preserve">m ato </w:t>
      </w:r>
      <w:proofErr w:type="spellStart"/>
      <w:r w:rsidR="00EA5254" w:rsidRPr="00C90D89">
        <w:rPr>
          <w:rFonts w:ascii="Times New Roman" w:hAnsi="Times New Roman" w:cs="Times New Roman"/>
          <w:i/>
        </w:rPr>
        <w:t>infralegal</w:t>
      </w:r>
      <w:proofErr w:type="spellEnd"/>
      <w:r w:rsidRPr="00C90D89">
        <w:rPr>
          <w:rFonts w:ascii="Times New Roman" w:hAnsi="Times New Roman" w:cs="Times New Roman"/>
        </w:rPr>
        <w:t>.</w:t>
      </w:r>
      <w:r w:rsidR="00EA5254" w:rsidRPr="00C90D89">
        <w:rPr>
          <w:rFonts w:ascii="Times New Roman" w:hAnsi="Times New Roman" w:cs="Times New Roman"/>
        </w:rPr>
        <w:t xml:space="preserve"> </w:t>
      </w:r>
    </w:p>
    <w:p w14:paraId="0C52C9C3" w14:textId="77777777" w:rsidR="00D00D6A" w:rsidRDefault="00D00D6A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1D5EB5E" w14:textId="77777777" w:rsidR="00D94A97" w:rsidRDefault="008365BE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Como é cediço, </w:t>
      </w:r>
      <w:r w:rsidR="00EC0CC5" w:rsidRPr="00C90D89">
        <w:rPr>
          <w:rFonts w:ascii="Times New Roman" w:hAnsi="Times New Roman" w:cs="Times New Roman"/>
        </w:rPr>
        <w:t xml:space="preserve">o requisito da competência, junto com o objeto e a forma, são requisitos vinculados do ato administrativo, isso é, </w:t>
      </w:r>
      <w:r w:rsidR="00E7357D" w:rsidRPr="00C90D89">
        <w:rPr>
          <w:rFonts w:ascii="Times New Roman" w:hAnsi="Times New Roman" w:cs="Times New Roman"/>
        </w:rPr>
        <w:t>neles</w:t>
      </w:r>
      <w:r w:rsidR="00EC0CC5" w:rsidRPr="00C90D89">
        <w:rPr>
          <w:rFonts w:ascii="Times New Roman" w:hAnsi="Times New Roman" w:cs="Times New Roman"/>
        </w:rPr>
        <w:t xml:space="preserve"> não há espaço para a discricionariedade. Nesse sentido, leciona Diógenes Gasparini: “</w:t>
      </w:r>
      <w:r w:rsidR="00EC0CC5" w:rsidRPr="00C90D89">
        <w:rPr>
          <w:rFonts w:ascii="Times New Roman" w:hAnsi="Times New Roman" w:cs="Times New Roman"/>
          <w:i/>
        </w:rPr>
        <w:t>o ato administrativo há de resultar do exercício das atribuições de um agente competente, sob pena de invalidação.</w:t>
      </w:r>
      <w:r w:rsidR="00EC0CC5" w:rsidRPr="00C90D89">
        <w:rPr>
          <w:rFonts w:ascii="Times New Roman" w:hAnsi="Times New Roman" w:cs="Times New Roman"/>
        </w:rPr>
        <w:t>”</w:t>
      </w:r>
      <w:r w:rsidR="00E7357D" w:rsidRPr="00C90D89">
        <w:rPr>
          <w:rStyle w:val="FootnoteReference"/>
          <w:rFonts w:ascii="Times New Roman" w:hAnsi="Times New Roman" w:cs="Times New Roman"/>
        </w:rPr>
        <w:footnoteReference w:id="7"/>
      </w:r>
      <w:r w:rsidR="00E7357D" w:rsidRPr="00C90D89">
        <w:rPr>
          <w:rFonts w:ascii="Times New Roman" w:hAnsi="Times New Roman" w:cs="Times New Roman"/>
        </w:rPr>
        <w:t xml:space="preserve"> Isso sabido, </w:t>
      </w:r>
      <w:r w:rsidR="00D00D6A">
        <w:rPr>
          <w:rFonts w:ascii="Times New Roman" w:hAnsi="Times New Roman" w:cs="Times New Roman"/>
        </w:rPr>
        <w:t xml:space="preserve">vê-se que </w:t>
      </w:r>
      <w:r w:rsidR="00707DE3" w:rsidRPr="00C90D89">
        <w:rPr>
          <w:rFonts w:ascii="Times New Roman" w:hAnsi="Times New Roman" w:cs="Times New Roman"/>
        </w:rPr>
        <w:t xml:space="preserve">a resolução da ANEEL </w:t>
      </w:r>
      <w:r w:rsidR="00D00D6A">
        <w:rPr>
          <w:rFonts w:ascii="Times New Roman" w:hAnsi="Times New Roman" w:cs="Times New Roman"/>
        </w:rPr>
        <w:t>esbarra</w:t>
      </w:r>
      <w:r w:rsidR="00707DE3" w:rsidRPr="00C90D89">
        <w:rPr>
          <w:rFonts w:ascii="Times New Roman" w:hAnsi="Times New Roman" w:cs="Times New Roman"/>
        </w:rPr>
        <w:t xml:space="preserve"> </w:t>
      </w:r>
      <w:r w:rsidR="00D00D6A">
        <w:rPr>
          <w:rFonts w:ascii="Times New Roman" w:hAnsi="Times New Roman" w:cs="Times New Roman"/>
        </w:rPr>
        <w:t>n</w:t>
      </w:r>
      <w:r w:rsidR="00707DE3" w:rsidRPr="00C90D89">
        <w:rPr>
          <w:rFonts w:ascii="Times New Roman" w:hAnsi="Times New Roman" w:cs="Times New Roman"/>
        </w:rPr>
        <w:t xml:space="preserve">o </w:t>
      </w:r>
      <w:r w:rsidR="00EA5254" w:rsidRPr="00C90D89">
        <w:rPr>
          <w:rFonts w:ascii="Times New Roman" w:hAnsi="Times New Roman" w:cs="Times New Roman"/>
        </w:rPr>
        <w:t xml:space="preserve">Decreto n. 41.019/1957, </w:t>
      </w:r>
      <w:r w:rsidR="00707DE3" w:rsidRPr="00C90D89">
        <w:rPr>
          <w:rFonts w:ascii="Times New Roman" w:hAnsi="Times New Roman" w:cs="Times New Roman"/>
        </w:rPr>
        <w:t>que, no</w:t>
      </w:r>
      <w:r w:rsidR="00EA5254" w:rsidRPr="00C90D89">
        <w:rPr>
          <w:rFonts w:ascii="Times New Roman" w:hAnsi="Times New Roman" w:cs="Times New Roman"/>
        </w:rPr>
        <w:t xml:space="preserve"> art. 64, </w:t>
      </w:r>
      <w:r w:rsidR="00707DE3" w:rsidRPr="00C90D89">
        <w:rPr>
          <w:rFonts w:ascii="Times New Roman" w:hAnsi="Times New Roman" w:cs="Times New Roman"/>
        </w:rPr>
        <w:t>prescreve:</w:t>
      </w:r>
      <w:r w:rsidR="00EA5254" w:rsidRPr="00C90D89">
        <w:rPr>
          <w:rFonts w:ascii="Times New Roman" w:hAnsi="Times New Roman" w:cs="Times New Roman"/>
        </w:rPr>
        <w:t xml:space="preserve"> “</w:t>
      </w:r>
      <w:r w:rsidR="00EA5254" w:rsidRPr="00C90D89">
        <w:rPr>
          <w:rFonts w:ascii="Times New Roman" w:hAnsi="Times New Roman" w:cs="Times New Roman"/>
          <w:i/>
        </w:rPr>
        <w:t>a venda, cessão ou doação em garantia hipotecária dos bens imóveis ou de partes essenciais da instalação dependem de prévia e expressa autorização do Ministro das Minas e Energia, mediante portaria, após parecer do Conselho Nacional de Águas e Energia Elétrica.</w:t>
      </w:r>
      <w:r w:rsidR="00707DE3" w:rsidRPr="00C90D89">
        <w:rPr>
          <w:rFonts w:ascii="Times New Roman" w:hAnsi="Times New Roman" w:cs="Times New Roman"/>
        </w:rPr>
        <w:t>” Uma transferência de ativos – cessão de bens imóveis da instalação –</w:t>
      </w:r>
      <w:r w:rsidR="00D00D6A">
        <w:rPr>
          <w:rFonts w:ascii="Times New Roman" w:hAnsi="Times New Roman" w:cs="Times New Roman"/>
        </w:rPr>
        <w:t>, segundo o Decreto,</w:t>
      </w:r>
      <w:r w:rsidR="00707DE3" w:rsidRPr="00C90D89">
        <w:rPr>
          <w:rFonts w:ascii="Times New Roman" w:hAnsi="Times New Roman" w:cs="Times New Roman"/>
        </w:rPr>
        <w:t xml:space="preserve"> demandaria a</w:t>
      </w:r>
      <w:r w:rsidR="00235E97">
        <w:rPr>
          <w:rFonts w:ascii="Times New Roman" w:hAnsi="Times New Roman" w:cs="Times New Roman"/>
        </w:rPr>
        <w:t>utorização do Ministro das Min</w:t>
      </w:r>
      <w:r w:rsidR="00707DE3" w:rsidRPr="00C90D89">
        <w:rPr>
          <w:rFonts w:ascii="Times New Roman" w:hAnsi="Times New Roman" w:cs="Times New Roman"/>
        </w:rPr>
        <w:t>as e Energia, após um parecer da ANEEL</w:t>
      </w:r>
      <w:r w:rsidR="00D00D6A">
        <w:rPr>
          <w:rFonts w:ascii="Times New Roman" w:hAnsi="Times New Roman" w:cs="Times New Roman"/>
        </w:rPr>
        <w:t xml:space="preserve"> (</w:t>
      </w:r>
      <w:r w:rsidR="00707DE3" w:rsidRPr="00C90D89">
        <w:rPr>
          <w:rFonts w:ascii="Times New Roman" w:hAnsi="Times New Roman" w:cs="Times New Roman"/>
        </w:rPr>
        <w:t xml:space="preserve">a qual substituiu o </w:t>
      </w:r>
      <w:r w:rsidR="00EA5254" w:rsidRPr="00C90D89">
        <w:rPr>
          <w:rFonts w:ascii="Times New Roman" w:hAnsi="Times New Roman" w:cs="Times New Roman"/>
        </w:rPr>
        <w:t>Conselho</w:t>
      </w:r>
      <w:r w:rsidR="00707DE3" w:rsidRPr="00C90D89">
        <w:rPr>
          <w:rFonts w:ascii="Times New Roman" w:hAnsi="Times New Roman" w:cs="Times New Roman"/>
        </w:rPr>
        <w:t xml:space="preserve"> referido</w:t>
      </w:r>
      <w:r w:rsidR="00D00D6A">
        <w:rPr>
          <w:rFonts w:ascii="Times New Roman" w:hAnsi="Times New Roman" w:cs="Times New Roman"/>
        </w:rPr>
        <w:t>)</w:t>
      </w:r>
      <w:r w:rsidR="00707DE3" w:rsidRPr="00C90D89">
        <w:rPr>
          <w:rFonts w:ascii="Times New Roman" w:hAnsi="Times New Roman" w:cs="Times New Roman"/>
        </w:rPr>
        <w:t xml:space="preserve">. </w:t>
      </w:r>
      <w:r w:rsidR="00235E97">
        <w:rPr>
          <w:rFonts w:ascii="Times New Roman" w:hAnsi="Times New Roman" w:cs="Times New Roman"/>
        </w:rPr>
        <w:t xml:space="preserve">Pode-se questionar, inclusive, </w:t>
      </w:r>
      <w:r w:rsidR="00D00D6A">
        <w:rPr>
          <w:rFonts w:ascii="Times New Roman" w:hAnsi="Times New Roman" w:cs="Times New Roman"/>
        </w:rPr>
        <w:t xml:space="preserve">se </w:t>
      </w:r>
      <w:r w:rsidR="00235E97">
        <w:rPr>
          <w:rFonts w:ascii="Times New Roman" w:hAnsi="Times New Roman" w:cs="Times New Roman"/>
        </w:rPr>
        <w:t>a recepção do Decreto</w:t>
      </w:r>
      <w:r w:rsidR="00D00D6A">
        <w:rPr>
          <w:rFonts w:ascii="Times New Roman" w:hAnsi="Times New Roman" w:cs="Times New Roman"/>
        </w:rPr>
        <w:t xml:space="preserve"> </w:t>
      </w:r>
      <w:r w:rsidR="00235E97">
        <w:rPr>
          <w:rFonts w:ascii="Times New Roman" w:hAnsi="Times New Roman" w:cs="Times New Roman"/>
        </w:rPr>
        <w:t>pela Constituição de 1988</w:t>
      </w:r>
      <w:r w:rsidR="00D00D6A">
        <w:rPr>
          <w:rFonts w:ascii="Times New Roman" w:hAnsi="Times New Roman" w:cs="Times New Roman"/>
        </w:rPr>
        <w:t xml:space="preserve"> não </w:t>
      </w:r>
      <w:r w:rsidR="00235E97">
        <w:rPr>
          <w:rFonts w:ascii="Times New Roman" w:hAnsi="Times New Roman" w:cs="Times New Roman"/>
        </w:rPr>
        <w:t xml:space="preserve">implicaria entender que </w:t>
      </w:r>
      <w:r w:rsidR="00D00D6A">
        <w:rPr>
          <w:rFonts w:ascii="Times New Roman" w:hAnsi="Times New Roman" w:cs="Times New Roman"/>
        </w:rPr>
        <w:t xml:space="preserve">o Presidente da República, </w:t>
      </w:r>
      <w:r w:rsidR="00235E97">
        <w:rPr>
          <w:rFonts w:ascii="Times New Roman" w:hAnsi="Times New Roman" w:cs="Times New Roman"/>
        </w:rPr>
        <w:t>não o Ministro, seria competente para autorizar essa transferência, nos termos do art. 84, IV da Carta, segundo o qual ao presidente cabe “</w:t>
      </w:r>
      <w:r w:rsidR="00235E97" w:rsidRPr="00235E97">
        <w:rPr>
          <w:rFonts w:ascii="Times New Roman" w:hAnsi="Times New Roman" w:cs="Times New Roman"/>
          <w:i/>
        </w:rPr>
        <w:t>sancionar, promulgar e fazer publicar as leis, bem como expedir decretos e regulamentos para sua fiel execução</w:t>
      </w:r>
      <w:r w:rsidR="00235E97">
        <w:rPr>
          <w:rFonts w:ascii="Times New Roman" w:hAnsi="Times New Roman" w:cs="Times New Roman"/>
        </w:rPr>
        <w:t>”.</w:t>
      </w:r>
      <w:r w:rsidR="00D94A97">
        <w:rPr>
          <w:rFonts w:ascii="Times New Roman" w:hAnsi="Times New Roman" w:cs="Times New Roman"/>
        </w:rPr>
        <w:t xml:space="preserve"> </w:t>
      </w:r>
    </w:p>
    <w:p w14:paraId="78854A98" w14:textId="77777777" w:rsidR="00D94A97" w:rsidRDefault="00D94A97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6418116" w14:textId="6FC4504D" w:rsidR="00EA5254" w:rsidRPr="00C90D89" w:rsidRDefault="00D94A97" w:rsidP="00D94A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 e noutro caso, verifica-se a fuga da competência para o ato, ainda que se trate de um requisito vinculado. E, considerando-se recepcionado ou não </w:t>
      </w:r>
      <w:r w:rsidR="00F84E98">
        <w:rPr>
          <w:rFonts w:ascii="Times New Roman" w:hAnsi="Times New Roman" w:cs="Times New Roman"/>
        </w:rPr>
        <w:t>recepcionado</w:t>
      </w:r>
      <w:r>
        <w:rPr>
          <w:rFonts w:ascii="Times New Roman" w:hAnsi="Times New Roman" w:cs="Times New Roman"/>
        </w:rPr>
        <w:t xml:space="preserve"> o Decreto</w:t>
      </w:r>
      <w:r w:rsidR="00F84E98">
        <w:rPr>
          <w:rFonts w:ascii="Times New Roman" w:hAnsi="Times New Roman" w:cs="Times New Roman"/>
        </w:rPr>
        <w:t xml:space="preserve">, calha </w:t>
      </w:r>
      <w:r>
        <w:rPr>
          <w:rFonts w:ascii="Times New Roman" w:hAnsi="Times New Roman" w:cs="Times New Roman"/>
        </w:rPr>
        <w:t>um</w:t>
      </w:r>
      <w:r w:rsidR="00F84E98">
        <w:rPr>
          <w:rFonts w:ascii="Times New Roman" w:hAnsi="Times New Roman" w:cs="Times New Roman"/>
        </w:rPr>
        <w:t>a observação final: o</w:t>
      </w:r>
      <w:r w:rsidR="00EA5254" w:rsidRPr="00C90D89">
        <w:rPr>
          <w:rFonts w:ascii="Times New Roman" w:hAnsi="Times New Roman" w:cs="Times New Roman"/>
        </w:rPr>
        <w:t xml:space="preserve"> </w:t>
      </w:r>
      <w:r w:rsidR="00F84E98">
        <w:rPr>
          <w:rFonts w:ascii="Times New Roman" w:hAnsi="Times New Roman" w:cs="Times New Roman"/>
        </w:rPr>
        <w:t xml:space="preserve">art. 64 do </w:t>
      </w:r>
      <w:r w:rsidR="00F84E98" w:rsidRPr="00C90D89">
        <w:rPr>
          <w:rFonts w:ascii="Times New Roman" w:hAnsi="Times New Roman" w:cs="Times New Roman"/>
        </w:rPr>
        <w:t>Decreto n. 41.019/1957</w:t>
      </w:r>
      <w:r w:rsidR="00F84E98">
        <w:rPr>
          <w:rFonts w:ascii="Times New Roman" w:hAnsi="Times New Roman" w:cs="Times New Roman"/>
        </w:rPr>
        <w:t xml:space="preserve"> fala</w:t>
      </w:r>
      <w:r w:rsidR="00A008C0" w:rsidRPr="00C90D89">
        <w:rPr>
          <w:rFonts w:ascii="Times New Roman" w:hAnsi="Times New Roman" w:cs="Times New Roman"/>
        </w:rPr>
        <w:t xml:space="preserve"> em uma competência para </w:t>
      </w:r>
      <w:r w:rsidR="00A008C0" w:rsidRPr="00752521">
        <w:rPr>
          <w:rFonts w:ascii="Times New Roman" w:hAnsi="Times New Roman" w:cs="Times New Roman"/>
          <w:b/>
        </w:rPr>
        <w:t>autorizar</w:t>
      </w:r>
      <w:r w:rsidR="00A008C0" w:rsidRPr="00C90D89">
        <w:rPr>
          <w:rFonts w:ascii="Times New Roman" w:hAnsi="Times New Roman" w:cs="Times New Roman"/>
        </w:rPr>
        <w:t xml:space="preserve"> a cessão de bens</w:t>
      </w:r>
      <w:r w:rsidR="00F84E98">
        <w:rPr>
          <w:rFonts w:ascii="Times New Roman" w:hAnsi="Times New Roman" w:cs="Times New Roman"/>
        </w:rPr>
        <w:t xml:space="preserve">. </w:t>
      </w:r>
      <w:r w:rsidR="00FF0D50" w:rsidRPr="00752521">
        <w:rPr>
          <w:rFonts w:ascii="Times New Roman" w:hAnsi="Times New Roman" w:cs="Times New Roman"/>
          <w:b/>
        </w:rPr>
        <w:t>Não</w:t>
      </w:r>
      <w:r w:rsidR="00F84E98" w:rsidRPr="00752521">
        <w:rPr>
          <w:rFonts w:ascii="Times New Roman" w:hAnsi="Times New Roman" w:cs="Times New Roman"/>
          <w:b/>
        </w:rPr>
        <w:t xml:space="preserve"> para a</w:t>
      </w:r>
      <w:r w:rsidR="00A008C0" w:rsidRPr="00752521">
        <w:rPr>
          <w:rFonts w:ascii="Times New Roman" w:hAnsi="Times New Roman" w:cs="Times New Roman"/>
          <w:b/>
        </w:rPr>
        <w:t xml:space="preserve"> obrigar</w:t>
      </w:r>
      <w:r w:rsidR="00A008C0" w:rsidRPr="00C90D89">
        <w:rPr>
          <w:rFonts w:ascii="Times New Roman" w:hAnsi="Times New Roman" w:cs="Times New Roman"/>
        </w:rPr>
        <w:t xml:space="preserve">. </w:t>
      </w:r>
    </w:p>
    <w:p w14:paraId="254ED8B7" w14:textId="77777777" w:rsidR="00EA5254" w:rsidRPr="00C90D89" w:rsidRDefault="00EA5254" w:rsidP="00EA5254">
      <w:pPr>
        <w:spacing w:line="360" w:lineRule="auto"/>
        <w:rPr>
          <w:rFonts w:ascii="Times New Roman" w:hAnsi="Times New Roman" w:cs="Times New Roman"/>
          <w:u w:val="single"/>
        </w:rPr>
      </w:pPr>
    </w:p>
    <w:p w14:paraId="18C81F03" w14:textId="4D9D370C" w:rsidR="006C3687" w:rsidRPr="00C90D89" w:rsidRDefault="0027072B" w:rsidP="0027072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90D89">
        <w:rPr>
          <w:rFonts w:ascii="Times New Roman" w:hAnsi="Times New Roman" w:cs="Times New Roman"/>
          <w:bCs/>
          <w:i/>
        </w:rPr>
        <w:t xml:space="preserve">2.1.2. Segunda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="00EA5254" w:rsidRPr="00C90D89">
        <w:rPr>
          <w:rFonts w:ascii="Times New Roman" w:hAnsi="Times New Roman" w:cs="Times New Roman"/>
          <w:bCs/>
          <w:i/>
        </w:rPr>
        <w:t xml:space="preserve">inconstitucionalidade </w:t>
      </w:r>
      <w:r w:rsidRPr="00C90D89">
        <w:rPr>
          <w:rFonts w:ascii="Times New Roman" w:hAnsi="Times New Roman" w:cs="Times New Roman"/>
          <w:bCs/>
          <w:i/>
        </w:rPr>
        <w:t xml:space="preserve">pela afronta </w:t>
      </w:r>
      <w:r w:rsidR="00EA5254" w:rsidRPr="00C90D89">
        <w:rPr>
          <w:rFonts w:ascii="Times New Roman" w:hAnsi="Times New Roman" w:cs="Times New Roman"/>
          <w:i/>
        </w:rPr>
        <w:t xml:space="preserve">ao regime de </w:t>
      </w:r>
      <w:r w:rsidR="002B2692" w:rsidRPr="00C90D89">
        <w:rPr>
          <w:rFonts w:ascii="Times New Roman" w:hAnsi="Times New Roman" w:cs="Times New Roman"/>
          <w:i/>
        </w:rPr>
        <w:t>bens públicos</w:t>
      </w:r>
      <w:r w:rsidRPr="00C90D89">
        <w:rPr>
          <w:rFonts w:ascii="Times New Roman" w:hAnsi="Times New Roman" w:cs="Times New Roman"/>
          <w:i/>
        </w:rPr>
        <w:t xml:space="preserve"> (transformação de bens da União em municipais)</w:t>
      </w:r>
    </w:p>
    <w:p w14:paraId="7AAD3568" w14:textId="77777777" w:rsidR="002B2692" w:rsidRPr="00C90D89" w:rsidRDefault="002B2692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C5BF98" w14:textId="230FAA44" w:rsidR="00346D36" w:rsidRPr="00C90D89" w:rsidRDefault="00391EA8" w:rsidP="00391E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Na Constituição Federal do Brasil encontram-se duas listas de bens públicos, uma dos bens relacionados à União (art. 20), outra dos bens relacionados aos Estados (art. 26). Da leitura dessas listas percebe-se que os </w:t>
      </w:r>
      <w:r w:rsidRPr="00AC5BE0">
        <w:rPr>
          <w:rFonts w:ascii="Times New Roman" w:hAnsi="Times New Roman" w:cs="Times New Roman"/>
          <w:b/>
        </w:rPr>
        <w:t>potenciais de energia são reservados à União</w:t>
      </w:r>
      <w:r w:rsidRPr="00C90D89">
        <w:rPr>
          <w:rFonts w:ascii="Times New Roman" w:hAnsi="Times New Roman" w:cs="Times New Roman"/>
        </w:rPr>
        <w:t xml:space="preserve">. Assim por força do art. 20, VIII, combinado com o § 1º da CF/88. </w:t>
      </w:r>
      <w:r w:rsidR="001A2D25" w:rsidRPr="00C90D89">
        <w:rPr>
          <w:rFonts w:ascii="Times New Roman" w:hAnsi="Times New Roman" w:cs="Times New Roman"/>
        </w:rPr>
        <w:t>Nesse sentido, lê-se a afirmação peremptória de Floriano Marques Neto: “</w:t>
      </w:r>
      <w:r w:rsidR="001A2D25" w:rsidRPr="004C70E9">
        <w:rPr>
          <w:rFonts w:ascii="Times New Roman" w:hAnsi="Times New Roman" w:cs="Times New Roman"/>
          <w:i/>
        </w:rPr>
        <w:t>É fora de dúvidas que os potenciais de energia hidráulica constituem bens públicos da União. Isso vem expresso no art. 20, VIII, da Constituição.</w:t>
      </w:r>
      <w:r w:rsidR="001A2D25" w:rsidRPr="00C90D89">
        <w:rPr>
          <w:rFonts w:ascii="Times New Roman" w:hAnsi="Times New Roman" w:cs="Times New Roman"/>
        </w:rPr>
        <w:t>”</w:t>
      </w:r>
      <w:r w:rsidR="001A2D25" w:rsidRPr="00C90D89">
        <w:rPr>
          <w:rStyle w:val="FootnoteReference"/>
          <w:rFonts w:ascii="Times New Roman" w:hAnsi="Times New Roman" w:cs="Times New Roman"/>
        </w:rPr>
        <w:footnoteReference w:id="8"/>
      </w:r>
      <w:r w:rsidR="001A2D25" w:rsidRPr="00C90D89">
        <w:rPr>
          <w:rFonts w:ascii="Times New Roman" w:hAnsi="Times New Roman" w:cs="Times New Roman"/>
        </w:rPr>
        <w:t xml:space="preserve"> </w:t>
      </w:r>
    </w:p>
    <w:p w14:paraId="2B03B3AB" w14:textId="77777777" w:rsidR="00391EA8" w:rsidRPr="00C90D89" w:rsidRDefault="00391EA8" w:rsidP="00391E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CB7FA90" w14:textId="7DE14D67" w:rsidR="00A11544" w:rsidRPr="00C90D89" w:rsidRDefault="00391EA8" w:rsidP="00A115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 energia elétrica, em si, é também um bem, que deve ser considerado uma “</w:t>
      </w:r>
      <w:r w:rsidRPr="00C90D89">
        <w:rPr>
          <w:rFonts w:ascii="Times New Roman" w:hAnsi="Times New Roman" w:cs="Times New Roman"/>
          <w:i/>
        </w:rPr>
        <w:t>propriedade distinta da do solo</w:t>
      </w:r>
      <w:r w:rsidRPr="00C90D89">
        <w:rPr>
          <w:rFonts w:ascii="Times New Roman" w:hAnsi="Times New Roman" w:cs="Times New Roman"/>
        </w:rPr>
        <w:t>”, na dicção do art. 176 da Carta Magna. Os potenciais de sua exploração, nos dizeres desse mesmo dispositivo, “</w:t>
      </w:r>
      <w:r w:rsidRPr="00C90D89">
        <w:rPr>
          <w:rFonts w:ascii="Times New Roman" w:hAnsi="Times New Roman" w:cs="Times New Roman"/>
          <w:i/>
        </w:rPr>
        <w:t>para efeito de exploração e aproveitamento</w:t>
      </w:r>
      <w:r w:rsidRPr="00C90D89">
        <w:rPr>
          <w:rFonts w:ascii="Times New Roman" w:hAnsi="Times New Roman" w:cs="Times New Roman"/>
        </w:rPr>
        <w:t xml:space="preserve"> [...]</w:t>
      </w:r>
      <w:r w:rsidRPr="00C90D89">
        <w:rPr>
          <w:rFonts w:ascii="Times New Roman" w:hAnsi="Times New Roman" w:cs="Times New Roman"/>
          <w:i/>
        </w:rPr>
        <w:t>, pertencem à União.</w:t>
      </w:r>
      <w:r w:rsidRPr="00C90D89">
        <w:rPr>
          <w:rFonts w:ascii="Times New Roman" w:hAnsi="Times New Roman" w:cs="Times New Roman"/>
        </w:rPr>
        <w:t xml:space="preserve">” </w:t>
      </w:r>
      <w:r w:rsidR="00A11544" w:rsidRPr="00C90D89">
        <w:rPr>
          <w:rFonts w:ascii="Times New Roman" w:hAnsi="Times New Roman" w:cs="Times New Roman"/>
        </w:rPr>
        <w:t>Nesse contexto, pode-se concluir que a energia (os potenciais de sua exploração) é um bem público relacionado à União, a ser considerada de acordo com o seu aproveitamento econômico (c</w:t>
      </w:r>
      <w:r w:rsidR="00342592">
        <w:rPr>
          <w:rFonts w:ascii="Times New Roman" w:hAnsi="Times New Roman" w:cs="Times New Roman"/>
        </w:rPr>
        <w:t>onforme</w:t>
      </w:r>
      <w:r w:rsidR="00A11544" w:rsidRPr="00C90D89">
        <w:rPr>
          <w:rFonts w:ascii="Times New Roman" w:hAnsi="Times New Roman" w:cs="Times New Roman"/>
        </w:rPr>
        <w:t xml:space="preserve"> art. 83, I do Código Civil). </w:t>
      </w:r>
      <w:r w:rsidR="00C26C1B" w:rsidRPr="00C90D89">
        <w:rPr>
          <w:rFonts w:ascii="Times New Roman" w:hAnsi="Times New Roman" w:cs="Times New Roman"/>
        </w:rPr>
        <w:t>Para efeito de patrimônio, considerando que a Constituição trata de potenciais de energia para exploração, devem-se considerar geração, transmissão e distribuição indivisíveis em sua titularidade</w:t>
      </w:r>
      <w:r w:rsidR="00342592">
        <w:rPr>
          <w:rFonts w:ascii="Times New Roman" w:hAnsi="Times New Roman" w:cs="Times New Roman"/>
        </w:rPr>
        <w:t xml:space="preserve"> patrimonial</w:t>
      </w:r>
      <w:r w:rsidR="00C26C1B" w:rsidRPr="00C90D89">
        <w:rPr>
          <w:rFonts w:ascii="Times New Roman" w:hAnsi="Times New Roman" w:cs="Times New Roman"/>
        </w:rPr>
        <w:t xml:space="preserve"> à União. </w:t>
      </w:r>
    </w:p>
    <w:p w14:paraId="0E5A3F71" w14:textId="52AFF4D9" w:rsidR="00B760C1" w:rsidRPr="00C90D89" w:rsidRDefault="00B760C1" w:rsidP="00346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D29934B" w14:textId="77777777" w:rsidR="00342592" w:rsidRDefault="00C26C1B" w:rsidP="00CE59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análise do </w:t>
      </w:r>
      <w:r w:rsidR="00565277" w:rsidRPr="00C90D89">
        <w:rPr>
          <w:rFonts w:ascii="Times New Roman" w:hAnsi="Times New Roman" w:cs="Times New Roman"/>
        </w:rPr>
        <w:t xml:space="preserve">Decreto </w:t>
      </w:r>
      <w:r w:rsidR="00206E9D" w:rsidRPr="00C90D89">
        <w:rPr>
          <w:rFonts w:ascii="Times New Roman" w:hAnsi="Times New Roman" w:cs="Times New Roman"/>
        </w:rPr>
        <w:t xml:space="preserve">n. </w:t>
      </w:r>
      <w:r w:rsidR="00565277" w:rsidRPr="00C90D89">
        <w:rPr>
          <w:rFonts w:ascii="Times New Roman" w:hAnsi="Times New Roman" w:cs="Times New Roman"/>
        </w:rPr>
        <w:t>41.019/1957</w:t>
      </w:r>
      <w:r w:rsidRPr="00C90D89">
        <w:rPr>
          <w:rFonts w:ascii="Times New Roman" w:hAnsi="Times New Roman" w:cs="Times New Roman"/>
        </w:rPr>
        <w:t xml:space="preserve"> clareia tal conclusão. Isso porque o</w:t>
      </w:r>
      <w:r w:rsidR="00565277" w:rsidRPr="00C90D89">
        <w:rPr>
          <w:rFonts w:ascii="Times New Roman" w:hAnsi="Times New Roman" w:cs="Times New Roman"/>
        </w:rPr>
        <w:t xml:space="preserve"> art. 54</w:t>
      </w:r>
      <w:r w:rsidRPr="00C90D89">
        <w:rPr>
          <w:rFonts w:ascii="Times New Roman" w:hAnsi="Times New Roman" w:cs="Times New Roman"/>
        </w:rPr>
        <w:t xml:space="preserve"> obriga</w:t>
      </w:r>
      <w:r w:rsidR="00565277" w:rsidRPr="00C90D89">
        <w:rPr>
          <w:rFonts w:ascii="Times New Roman" w:hAnsi="Times New Roman" w:cs="Times New Roman"/>
        </w:rPr>
        <w:t xml:space="preserve"> a realização de um inventário d</w:t>
      </w:r>
      <w:r w:rsidRPr="00C90D89">
        <w:rPr>
          <w:rFonts w:ascii="Times New Roman" w:hAnsi="Times New Roman" w:cs="Times New Roman"/>
        </w:rPr>
        <w:t>os</w:t>
      </w:r>
      <w:r w:rsidR="009D22BF" w:rsidRPr="00C90D89">
        <w:rPr>
          <w:rFonts w:ascii="Times New Roman" w:hAnsi="Times New Roman" w:cs="Times New Roman"/>
        </w:rPr>
        <w:t xml:space="preserve"> </w:t>
      </w:r>
      <w:r w:rsidR="00565277" w:rsidRPr="00C90D89">
        <w:rPr>
          <w:rFonts w:ascii="Times New Roman" w:hAnsi="Times New Roman" w:cs="Times New Roman"/>
        </w:rPr>
        <w:t xml:space="preserve">bens e instalações utilizados na produção, transmissão e distribuição de energia elétrica, </w:t>
      </w:r>
      <w:r w:rsidR="004D14DC" w:rsidRPr="00C90D89">
        <w:rPr>
          <w:rFonts w:ascii="Times New Roman" w:hAnsi="Times New Roman" w:cs="Times New Roman"/>
        </w:rPr>
        <w:t xml:space="preserve">bens </w:t>
      </w:r>
      <w:r w:rsidR="00565277" w:rsidRPr="00C90D89">
        <w:rPr>
          <w:rFonts w:ascii="Times New Roman" w:hAnsi="Times New Roman" w:cs="Times New Roman"/>
        </w:rPr>
        <w:t>os quais, segundo o art. 63</w:t>
      </w:r>
      <w:r w:rsidR="009D22BF" w:rsidRPr="00C90D89">
        <w:rPr>
          <w:rFonts w:ascii="Times New Roman" w:hAnsi="Times New Roman" w:cs="Times New Roman"/>
        </w:rPr>
        <w:t xml:space="preserve"> desse Decreto, </w:t>
      </w:r>
      <w:r w:rsidR="00565277" w:rsidRPr="00C90D89">
        <w:rPr>
          <w:rFonts w:ascii="Times New Roman" w:hAnsi="Times New Roman" w:cs="Times New Roman"/>
        </w:rPr>
        <w:t>são vinculados a esses serviços</w:t>
      </w:r>
      <w:r w:rsidR="00206E9D" w:rsidRPr="00C90D89">
        <w:rPr>
          <w:rFonts w:ascii="Times New Roman" w:hAnsi="Times New Roman" w:cs="Times New Roman"/>
        </w:rPr>
        <w:t xml:space="preserve">. </w:t>
      </w:r>
      <w:r w:rsidRPr="00C90D89">
        <w:rPr>
          <w:rFonts w:ascii="Times New Roman" w:hAnsi="Times New Roman" w:cs="Times New Roman"/>
        </w:rPr>
        <w:t xml:space="preserve">Considerando que a exploração desses bens e instalações, segundo as competências materiais que analisaremos a seguir, é federal, tem-se essa titularidade indivisível da União no que toca às instalações para a iluminação pública. </w:t>
      </w:r>
    </w:p>
    <w:p w14:paraId="35F396E1" w14:textId="77777777" w:rsidR="00342592" w:rsidRDefault="00342592" w:rsidP="00CE59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C950647" w14:textId="0F04606B" w:rsidR="005112F0" w:rsidRPr="00C90D89" w:rsidRDefault="00322D9B" w:rsidP="00CE59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Isso é: </w:t>
      </w:r>
      <w:r w:rsidR="009D22BF" w:rsidRPr="00AC5BE0">
        <w:rPr>
          <w:rFonts w:ascii="Times New Roman" w:hAnsi="Times New Roman" w:cs="Times New Roman"/>
          <w:u w:val="single"/>
        </w:rPr>
        <w:t>o</w:t>
      </w:r>
      <w:r w:rsidR="003E3ADA" w:rsidRPr="00AC5BE0">
        <w:rPr>
          <w:rFonts w:ascii="Times New Roman" w:hAnsi="Times New Roman" w:cs="Times New Roman"/>
          <w:u w:val="single"/>
        </w:rPr>
        <w:t>s ativos</w:t>
      </w:r>
      <w:r w:rsidR="00ED35EB" w:rsidRPr="00AC5BE0">
        <w:rPr>
          <w:rFonts w:ascii="Times New Roman" w:hAnsi="Times New Roman" w:cs="Times New Roman"/>
          <w:u w:val="single"/>
        </w:rPr>
        <w:t xml:space="preserve"> </w:t>
      </w:r>
      <w:r w:rsidRPr="00AC5BE0">
        <w:rPr>
          <w:rFonts w:ascii="Times New Roman" w:hAnsi="Times New Roman" w:cs="Times New Roman"/>
          <w:u w:val="single"/>
        </w:rPr>
        <w:t xml:space="preserve">imobilizados em serviço </w:t>
      </w:r>
      <w:r w:rsidR="003E3ADA" w:rsidRPr="00AC5BE0">
        <w:rPr>
          <w:rFonts w:ascii="Times New Roman" w:hAnsi="Times New Roman" w:cs="Times New Roman"/>
          <w:u w:val="single"/>
        </w:rPr>
        <w:t xml:space="preserve">não </w:t>
      </w:r>
      <w:r w:rsidR="00ED35EB" w:rsidRPr="00AC5BE0">
        <w:rPr>
          <w:rFonts w:ascii="Times New Roman" w:hAnsi="Times New Roman" w:cs="Times New Roman"/>
          <w:u w:val="single"/>
        </w:rPr>
        <w:t>pertence</w:t>
      </w:r>
      <w:r w:rsidRPr="00AC5BE0">
        <w:rPr>
          <w:rFonts w:ascii="Times New Roman" w:hAnsi="Times New Roman" w:cs="Times New Roman"/>
          <w:u w:val="single"/>
        </w:rPr>
        <w:t>m à concessionária ou a ANEEL, criando-se uma situação na qual essa agência transfere bem que não é seu (e nem da concessionária) a quem não o quer receber</w:t>
      </w:r>
      <w:r w:rsidRPr="00C90D89">
        <w:rPr>
          <w:rFonts w:ascii="Times New Roman" w:hAnsi="Times New Roman" w:cs="Times New Roman"/>
        </w:rPr>
        <w:t>.</w:t>
      </w:r>
      <w:r w:rsidR="00CE594D" w:rsidRPr="00C90D89">
        <w:rPr>
          <w:rFonts w:ascii="Times New Roman" w:hAnsi="Times New Roman" w:cs="Times New Roman"/>
        </w:rPr>
        <w:t xml:space="preserve"> Seja pela ótica do Direito Público, seja pela ótica do Direito Privado, essa situação guarda</w:t>
      </w:r>
      <w:r w:rsidR="00342592">
        <w:rPr>
          <w:rFonts w:ascii="Times New Roman" w:hAnsi="Times New Roman" w:cs="Times New Roman"/>
        </w:rPr>
        <w:t>, pois,</w:t>
      </w:r>
      <w:r w:rsidR="00CE594D" w:rsidRPr="00C90D89">
        <w:rPr>
          <w:rFonts w:ascii="Times New Roman" w:hAnsi="Times New Roman" w:cs="Times New Roman"/>
        </w:rPr>
        <w:t xml:space="preserve"> </w:t>
      </w:r>
      <w:r w:rsidR="00342592">
        <w:rPr>
          <w:rFonts w:ascii="Times New Roman" w:hAnsi="Times New Roman" w:cs="Times New Roman"/>
        </w:rPr>
        <w:t>um</w:t>
      </w:r>
      <w:r w:rsidR="00CE594D" w:rsidRPr="00C90D89">
        <w:rPr>
          <w:rFonts w:ascii="Times New Roman" w:hAnsi="Times New Roman" w:cs="Times New Roman"/>
        </w:rPr>
        <w:t xml:space="preserve"> esdrúxulo</w:t>
      </w:r>
      <w:r w:rsidR="00342592">
        <w:rPr>
          <w:rFonts w:ascii="Times New Roman" w:hAnsi="Times New Roman" w:cs="Times New Roman"/>
        </w:rPr>
        <w:t xml:space="preserve"> teor</w:t>
      </w:r>
      <w:r w:rsidR="00CE594D" w:rsidRPr="00C90D89">
        <w:rPr>
          <w:rFonts w:ascii="Times New Roman" w:hAnsi="Times New Roman" w:cs="Times New Roman"/>
        </w:rPr>
        <w:t xml:space="preserve">. </w:t>
      </w:r>
      <w:r w:rsidR="003E3ADA" w:rsidRPr="00C90D89">
        <w:rPr>
          <w:rFonts w:ascii="Times New Roman" w:hAnsi="Times New Roman" w:cs="Times New Roman"/>
        </w:rPr>
        <w:t xml:space="preserve"> </w:t>
      </w:r>
    </w:p>
    <w:p w14:paraId="06C58420" w14:textId="77777777" w:rsidR="0027072B" w:rsidRPr="00C90D89" w:rsidRDefault="0027072B" w:rsidP="009D22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26A7CFD" w14:textId="425BAA73" w:rsidR="0027072B" w:rsidRPr="00C90D89" w:rsidRDefault="0027072B" w:rsidP="002707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Cs/>
          <w:i/>
        </w:rPr>
        <w:t xml:space="preserve">2.1.3. Terceira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bCs/>
          <w:i/>
        </w:rPr>
        <w:t xml:space="preserve">inconstitucionalidade pela afronta </w:t>
      </w:r>
      <w:r w:rsidR="000A7D62" w:rsidRPr="00C90D89">
        <w:rPr>
          <w:rFonts w:ascii="Times New Roman" w:hAnsi="Times New Roman" w:cs="Times New Roman"/>
          <w:i/>
        </w:rPr>
        <w:t xml:space="preserve">à repartição de competências </w:t>
      </w:r>
      <w:r w:rsidRPr="00C90D89">
        <w:rPr>
          <w:rFonts w:ascii="Times New Roman" w:hAnsi="Times New Roman" w:cs="Times New Roman"/>
          <w:i/>
        </w:rPr>
        <w:t xml:space="preserve">(transformação de </w:t>
      </w:r>
      <w:r w:rsidR="000A7D62" w:rsidRPr="00C90D89">
        <w:rPr>
          <w:rFonts w:ascii="Times New Roman" w:hAnsi="Times New Roman" w:cs="Times New Roman"/>
          <w:i/>
        </w:rPr>
        <w:t>competências</w:t>
      </w:r>
      <w:r w:rsidRPr="00C90D89">
        <w:rPr>
          <w:rFonts w:ascii="Times New Roman" w:hAnsi="Times New Roman" w:cs="Times New Roman"/>
          <w:i/>
        </w:rPr>
        <w:t xml:space="preserve"> da União em municipais)</w:t>
      </w:r>
    </w:p>
    <w:p w14:paraId="641D71AE" w14:textId="77777777" w:rsidR="0034513D" w:rsidRPr="00C90D89" w:rsidRDefault="0034513D" w:rsidP="003451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0320DA3" w14:textId="77777777" w:rsidR="000012AB" w:rsidRPr="00C90D89" w:rsidRDefault="000012AB" w:rsidP="00AB3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temática da energia recebeu atenção constitucional não apenas para a consequência de a estabelecer, em seus potenciais, como um patrimônio público da União, mas também para a disciplina da administração desse patrimônio. Isso, diz-se, em um sentido mais geral de administração, que compreende as funções legislativas e administrativas. </w:t>
      </w:r>
    </w:p>
    <w:p w14:paraId="1E4B07C9" w14:textId="77777777" w:rsidR="000012AB" w:rsidRPr="00C90D89" w:rsidRDefault="000012AB" w:rsidP="00AB3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BD10EB0" w14:textId="046A4BB0" w:rsidR="00CC0344" w:rsidRPr="00C90D89" w:rsidRDefault="000012AB" w:rsidP="000012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Naquilo que tange à função legislativa, a Constituição Federal estabeleceu a competência privativa da União para legislar sobre “</w:t>
      </w:r>
      <w:r w:rsidR="00CC0344" w:rsidRPr="00C90D89">
        <w:rPr>
          <w:rFonts w:ascii="Times New Roman" w:hAnsi="Times New Roman" w:cs="Times New Roman"/>
          <w:i/>
        </w:rPr>
        <w:t>águas, energia, informática, telecomunicações e radiodifusão</w:t>
      </w:r>
      <w:r w:rsidR="00CC0344" w:rsidRPr="00C90D89">
        <w:rPr>
          <w:rFonts w:ascii="Times New Roman" w:hAnsi="Times New Roman" w:cs="Times New Roman"/>
        </w:rPr>
        <w:t>”</w:t>
      </w:r>
      <w:r w:rsidRPr="00C90D89">
        <w:rPr>
          <w:rFonts w:ascii="Times New Roman" w:hAnsi="Times New Roman" w:cs="Times New Roman"/>
        </w:rPr>
        <w:t xml:space="preserve"> (art. 22, IV),</w:t>
      </w:r>
      <w:r w:rsidR="00CC0344" w:rsidRPr="00C90D89">
        <w:rPr>
          <w:rFonts w:ascii="Times New Roman" w:hAnsi="Times New Roman" w:cs="Times New Roman"/>
        </w:rPr>
        <w:t xml:space="preserve"> sobre “</w:t>
      </w:r>
      <w:r w:rsidR="00CC0344" w:rsidRPr="00C90D89">
        <w:rPr>
          <w:rFonts w:ascii="Times New Roman" w:hAnsi="Times New Roman" w:cs="Times New Roman"/>
          <w:i/>
        </w:rPr>
        <w:t>jazidas, minas, outros recursos minerais e metalurgia</w:t>
      </w:r>
      <w:r w:rsidR="00CC0344" w:rsidRPr="00C90D89">
        <w:rPr>
          <w:rFonts w:ascii="Times New Roman" w:hAnsi="Times New Roman" w:cs="Times New Roman"/>
        </w:rPr>
        <w:t>” (</w:t>
      </w:r>
      <w:r w:rsidRPr="00C90D89">
        <w:rPr>
          <w:rFonts w:ascii="Times New Roman" w:hAnsi="Times New Roman" w:cs="Times New Roman"/>
        </w:rPr>
        <w:t xml:space="preserve">art. 22, </w:t>
      </w:r>
      <w:r w:rsidR="00CC0344" w:rsidRPr="00C90D89">
        <w:rPr>
          <w:rFonts w:ascii="Times New Roman" w:hAnsi="Times New Roman" w:cs="Times New Roman"/>
        </w:rPr>
        <w:t>XII) e sobre “</w:t>
      </w:r>
      <w:r w:rsidR="00CC0344" w:rsidRPr="00C90D89">
        <w:rPr>
          <w:rFonts w:ascii="Times New Roman" w:hAnsi="Times New Roman" w:cs="Times New Roman"/>
          <w:i/>
        </w:rPr>
        <w:t>atividades nucleares de qualquer natureza</w:t>
      </w:r>
      <w:r w:rsidR="00CC0344" w:rsidRPr="00C90D89">
        <w:rPr>
          <w:rFonts w:ascii="Times New Roman" w:hAnsi="Times New Roman" w:cs="Times New Roman"/>
        </w:rPr>
        <w:t>” (</w:t>
      </w:r>
      <w:r w:rsidRPr="00C90D89">
        <w:rPr>
          <w:rFonts w:ascii="Times New Roman" w:hAnsi="Times New Roman" w:cs="Times New Roman"/>
        </w:rPr>
        <w:t xml:space="preserve">art. 22, </w:t>
      </w:r>
      <w:r w:rsidR="00CC0344" w:rsidRPr="00C90D89">
        <w:rPr>
          <w:rFonts w:ascii="Times New Roman" w:hAnsi="Times New Roman" w:cs="Times New Roman"/>
        </w:rPr>
        <w:t>XXVI), contemplando,</w:t>
      </w:r>
      <w:r w:rsidRPr="00C90D89">
        <w:rPr>
          <w:rFonts w:ascii="Times New Roman" w:hAnsi="Times New Roman" w:cs="Times New Roman"/>
        </w:rPr>
        <w:t xml:space="preserve"> assim, além da água, outras fontes de energia</w:t>
      </w:r>
      <w:r w:rsidR="00CC0344" w:rsidRPr="00C90D89">
        <w:rPr>
          <w:rFonts w:ascii="Times New Roman" w:hAnsi="Times New Roman" w:cs="Times New Roman"/>
        </w:rPr>
        <w:t>.</w:t>
      </w:r>
      <w:r w:rsidR="00AB310C" w:rsidRPr="00C90D89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 xml:space="preserve">Estabeleceu-se, pois, que cabe </w:t>
      </w:r>
      <w:r w:rsidRPr="00AC5BE0">
        <w:rPr>
          <w:rFonts w:ascii="Times New Roman" w:hAnsi="Times New Roman" w:cs="Times New Roman"/>
          <w:b/>
        </w:rPr>
        <w:t>a União, e apenas a ela, a legislar sobre energia</w:t>
      </w:r>
      <w:r w:rsidRPr="00C90D89">
        <w:rPr>
          <w:rFonts w:ascii="Times New Roman" w:hAnsi="Times New Roman" w:cs="Times New Roman"/>
        </w:rPr>
        <w:t>, o que se enxerga tanto para a “energia” considerada genericamente quanto para as suas mais diversas fontes</w:t>
      </w:r>
      <w:r w:rsidR="00AB310C" w:rsidRPr="00C90D89">
        <w:rPr>
          <w:rFonts w:ascii="Times New Roman" w:hAnsi="Times New Roman" w:cs="Times New Roman"/>
        </w:rPr>
        <w:t>.</w:t>
      </w:r>
    </w:p>
    <w:p w14:paraId="00FA71C1" w14:textId="77777777" w:rsidR="000012AB" w:rsidRPr="00C90D89" w:rsidRDefault="000012AB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4105D6" w14:textId="77777777" w:rsidR="00252009" w:rsidRPr="00C90D89" w:rsidRDefault="000012AB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Já no que tange à função administrativa, há, a partir da exegese constitucional, </w:t>
      </w:r>
      <w:r w:rsidRPr="00AC5BE0">
        <w:rPr>
          <w:rFonts w:ascii="Times New Roman" w:hAnsi="Times New Roman" w:cs="Times New Roman"/>
          <w:u w:val="single"/>
        </w:rPr>
        <w:t>duas interpretações</w:t>
      </w:r>
      <w:r w:rsidR="00A676FE" w:rsidRPr="00AC5BE0">
        <w:rPr>
          <w:rFonts w:ascii="Times New Roman" w:hAnsi="Times New Roman" w:cs="Times New Roman"/>
          <w:u w:val="single"/>
        </w:rPr>
        <w:t xml:space="preserve"> acerca da competência para administrar o sistema de iluminação pública</w:t>
      </w:r>
      <w:r w:rsidRPr="00C90D89">
        <w:rPr>
          <w:rFonts w:ascii="Times New Roman" w:hAnsi="Times New Roman" w:cs="Times New Roman"/>
        </w:rPr>
        <w:t xml:space="preserve">. </w:t>
      </w:r>
    </w:p>
    <w:p w14:paraId="77D81483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B2AE1FD" w14:textId="0D89BB03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5BE0">
        <w:rPr>
          <w:rFonts w:ascii="Times New Roman" w:hAnsi="Times New Roman" w:cs="Times New Roman"/>
          <w:u w:val="single"/>
        </w:rPr>
        <w:t xml:space="preserve">Para uma das interpretações, a competência </w:t>
      </w:r>
      <w:r w:rsidR="00A676FE" w:rsidRPr="00AC5BE0">
        <w:rPr>
          <w:rFonts w:ascii="Times New Roman" w:hAnsi="Times New Roman" w:cs="Times New Roman"/>
          <w:u w:val="single"/>
        </w:rPr>
        <w:t>é da União</w:t>
      </w:r>
      <w:r w:rsidR="00A676FE" w:rsidRPr="00C90D89">
        <w:rPr>
          <w:rFonts w:ascii="Times New Roman" w:hAnsi="Times New Roman" w:cs="Times New Roman"/>
        </w:rPr>
        <w:t>, consoante o disposto no art. 21, XII, “b”</w:t>
      </w:r>
      <w:r w:rsidRPr="00C90D89">
        <w:rPr>
          <w:rFonts w:ascii="Times New Roman" w:hAnsi="Times New Roman" w:cs="Times New Roman"/>
        </w:rPr>
        <w:t xml:space="preserve"> da CF/88</w:t>
      </w:r>
      <w:r w:rsidR="00A676FE" w:rsidRPr="00C90D89">
        <w:rPr>
          <w:rFonts w:ascii="Times New Roman" w:hAnsi="Times New Roman" w:cs="Times New Roman"/>
        </w:rPr>
        <w:t xml:space="preserve">, </w:t>
      </w:r>
      <w:r w:rsidR="00A676FE" w:rsidRPr="00C90D89">
        <w:rPr>
          <w:rFonts w:ascii="Times New Roman" w:hAnsi="Times New Roman" w:cs="Times New Roman"/>
          <w:i/>
        </w:rPr>
        <w:t xml:space="preserve">in </w:t>
      </w:r>
      <w:proofErr w:type="spellStart"/>
      <w:r w:rsidR="00A676FE" w:rsidRPr="00C90D89">
        <w:rPr>
          <w:rFonts w:ascii="Times New Roman" w:hAnsi="Times New Roman" w:cs="Times New Roman"/>
          <w:i/>
        </w:rPr>
        <w:t>verbis</w:t>
      </w:r>
      <w:proofErr w:type="spellEnd"/>
      <w:r w:rsidR="00A676FE" w:rsidRPr="00C90D89">
        <w:rPr>
          <w:rFonts w:ascii="Times New Roman" w:hAnsi="Times New Roman" w:cs="Times New Roman"/>
        </w:rPr>
        <w:t xml:space="preserve">: </w:t>
      </w:r>
    </w:p>
    <w:p w14:paraId="6DD33FC5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04A6C6A" w14:textId="6CAC5B01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Art. 21. </w:t>
      </w:r>
      <w:r w:rsidR="00A676FE" w:rsidRPr="00C90D89">
        <w:rPr>
          <w:rFonts w:ascii="Times New Roman" w:hAnsi="Times New Roman" w:cs="Times New Roman"/>
          <w:sz w:val="22"/>
          <w:szCs w:val="22"/>
        </w:rPr>
        <w:t>Compete à União</w:t>
      </w:r>
      <w:r w:rsidRPr="00C90D89">
        <w:rPr>
          <w:rFonts w:ascii="Times New Roman" w:hAnsi="Times New Roman" w:cs="Times New Roman"/>
          <w:sz w:val="22"/>
          <w:szCs w:val="22"/>
        </w:rPr>
        <w:t>:</w:t>
      </w:r>
      <w:r w:rsidR="00A676FE" w:rsidRPr="00C90D89">
        <w:rPr>
          <w:rFonts w:ascii="Times New Roman" w:hAnsi="Times New Roman" w:cs="Times New Roman"/>
          <w:sz w:val="22"/>
          <w:szCs w:val="22"/>
        </w:rPr>
        <w:t xml:space="preserve"> </w:t>
      </w:r>
      <w:r w:rsidRPr="00C90D89">
        <w:rPr>
          <w:rFonts w:ascii="Times New Roman" w:hAnsi="Times New Roman" w:cs="Times New Roman"/>
          <w:sz w:val="22"/>
          <w:szCs w:val="22"/>
        </w:rPr>
        <w:t>(...)</w:t>
      </w:r>
    </w:p>
    <w:p w14:paraId="2B2C27EE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XII - </w:t>
      </w:r>
      <w:r w:rsidR="00A676FE" w:rsidRPr="00C90D89">
        <w:rPr>
          <w:rFonts w:ascii="Times New Roman" w:hAnsi="Times New Roman" w:cs="Times New Roman"/>
          <w:sz w:val="22"/>
          <w:szCs w:val="22"/>
        </w:rPr>
        <w:t>explorar, diretamente ou mediante autorização, concessão ou permissão</w:t>
      </w:r>
      <w:r w:rsidRPr="00C90D89">
        <w:rPr>
          <w:rFonts w:ascii="Times New Roman" w:hAnsi="Times New Roman" w:cs="Times New Roman"/>
          <w:sz w:val="22"/>
          <w:szCs w:val="22"/>
        </w:rPr>
        <w:t>:</w:t>
      </w:r>
      <w:r w:rsidR="00A676FE" w:rsidRPr="00C90D89">
        <w:rPr>
          <w:rFonts w:ascii="Times New Roman" w:hAnsi="Times New Roman" w:cs="Times New Roman"/>
          <w:sz w:val="22"/>
          <w:szCs w:val="22"/>
        </w:rPr>
        <w:t xml:space="preserve"> (...) </w:t>
      </w:r>
    </w:p>
    <w:p w14:paraId="5C4255BC" w14:textId="406BF46B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b) </w:t>
      </w:r>
      <w:r w:rsidR="00A676FE" w:rsidRPr="00C90D89">
        <w:rPr>
          <w:rFonts w:ascii="Times New Roman" w:hAnsi="Times New Roman" w:cs="Times New Roman"/>
          <w:sz w:val="22"/>
          <w:szCs w:val="22"/>
        </w:rPr>
        <w:t xml:space="preserve">os serviços e instalações de energia elétrica e o aproveitamento energético dos cursos de água, em articulação com os Estados onde se situam os potenciais </w:t>
      </w:r>
      <w:proofErr w:type="spellStart"/>
      <w:r w:rsidR="00A676FE" w:rsidRPr="00C90D89">
        <w:rPr>
          <w:rFonts w:ascii="Times New Roman" w:hAnsi="Times New Roman" w:cs="Times New Roman"/>
          <w:sz w:val="22"/>
          <w:szCs w:val="22"/>
        </w:rPr>
        <w:t>hidroenergéticos</w:t>
      </w:r>
      <w:proofErr w:type="spellEnd"/>
      <w:r w:rsidRPr="00C90D89">
        <w:rPr>
          <w:rFonts w:ascii="Times New Roman" w:hAnsi="Times New Roman" w:cs="Times New Roman"/>
          <w:sz w:val="22"/>
          <w:szCs w:val="22"/>
        </w:rPr>
        <w:t xml:space="preserve"> (...)</w:t>
      </w:r>
      <w:r w:rsidR="00A676FE" w:rsidRPr="00C90D89">
        <w:rPr>
          <w:rFonts w:ascii="Times New Roman" w:hAnsi="Times New Roman" w:cs="Times New Roman"/>
          <w:sz w:val="22"/>
          <w:szCs w:val="22"/>
        </w:rPr>
        <w:t>.</w:t>
      </w:r>
      <w:r w:rsidRPr="00C90D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731031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ABEBE40" w14:textId="09781A6A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5BE0">
        <w:rPr>
          <w:rFonts w:ascii="Times New Roman" w:hAnsi="Times New Roman" w:cs="Times New Roman"/>
          <w:u w:val="single"/>
        </w:rPr>
        <w:t>Para a outra interpretação – seguida pela ANEEL – a competência seria dos Municípios</w:t>
      </w:r>
      <w:r w:rsidRPr="00C90D89">
        <w:rPr>
          <w:rFonts w:ascii="Times New Roman" w:hAnsi="Times New Roman" w:cs="Times New Roman"/>
        </w:rPr>
        <w:t xml:space="preserve">, consoante o disposto no art. 30, V e no art. 149-A da CF/88, </w:t>
      </w:r>
      <w:r w:rsidRPr="00C90D89">
        <w:rPr>
          <w:rFonts w:ascii="Times New Roman" w:hAnsi="Times New Roman" w:cs="Times New Roman"/>
          <w:i/>
        </w:rPr>
        <w:t xml:space="preserve">in </w:t>
      </w:r>
      <w:proofErr w:type="spellStart"/>
      <w:r w:rsidRPr="00C90D89">
        <w:rPr>
          <w:rFonts w:ascii="Times New Roman" w:hAnsi="Times New Roman" w:cs="Times New Roman"/>
          <w:i/>
        </w:rPr>
        <w:t>verbis</w:t>
      </w:r>
      <w:proofErr w:type="spellEnd"/>
      <w:r w:rsidRPr="00C90D89">
        <w:rPr>
          <w:rFonts w:ascii="Times New Roman" w:hAnsi="Times New Roman" w:cs="Times New Roman"/>
        </w:rPr>
        <w:t xml:space="preserve">: </w:t>
      </w:r>
    </w:p>
    <w:p w14:paraId="1E3F79EA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EF09211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30. Compete aos Municípios: (...)</w:t>
      </w:r>
    </w:p>
    <w:p w14:paraId="7439F397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V - organizar e prestar, diretamente ou sob regime de concessão ou permissão, os serviços públicos de interesse local, incluído o de transporte coletivo, que tem caráter essencial (...).</w:t>
      </w:r>
    </w:p>
    <w:p w14:paraId="151B783D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14:paraId="46F83CEB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149-A Os Municípios e o Distrito Federal poderão instituir contribuição, na forma das respectivas leis, para o custeio do serviço de iluminação pública, observado o disposto no art. 150, I e III.</w:t>
      </w:r>
    </w:p>
    <w:p w14:paraId="0434BF8F" w14:textId="5E52BD2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Parágrafo único. É facultada a cobrança da contribuição a que se refere o caput, na fatura de consumo de energia elétrica. </w:t>
      </w:r>
    </w:p>
    <w:p w14:paraId="35924EE1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CE0EC5" w14:textId="7B7EF356" w:rsidR="000012AB" w:rsidRPr="00C90D89" w:rsidRDefault="00252009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5BE0">
        <w:rPr>
          <w:rFonts w:ascii="Times New Roman" w:hAnsi="Times New Roman" w:cs="Times New Roman"/>
          <w:b/>
        </w:rPr>
        <w:t>Esta</w:t>
      </w:r>
      <w:r w:rsidR="000012AB" w:rsidRPr="00AC5BE0">
        <w:rPr>
          <w:rFonts w:ascii="Times New Roman" w:hAnsi="Times New Roman" w:cs="Times New Roman"/>
          <w:b/>
        </w:rPr>
        <w:t xml:space="preserve"> segunda exegese, porém, é, máxima vênia a quem a sustenta, é absolutamente equivocada</w:t>
      </w:r>
      <w:r w:rsidR="000012AB" w:rsidRPr="00AC5BE0">
        <w:rPr>
          <w:rFonts w:ascii="Times New Roman" w:hAnsi="Times New Roman" w:cs="Times New Roman"/>
        </w:rPr>
        <w:t>, pois parte de uma compreensão errônea da repartição constitucional de competê</w:t>
      </w:r>
      <w:r w:rsidRPr="00AC5BE0">
        <w:rPr>
          <w:rFonts w:ascii="Times New Roman" w:hAnsi="Times New Roman" w:cs="Times New Roman"/>
        </w:rPr>
        <w:t>ncias</w:t>
      </w:r>
      <w:r w:rsidR="000012AB" w:rsidRPr="00AC5BE0">
        <w:rPr>
          <w:rFonts w:ascii="Times New Roman" w:hAnsi="Times New Roman" w:cs="Times New Roman"/>
        </w:rPr>
        <w:t>.</w:t>
      </w:r>
      <w:r w:rsidR="000012AB" w:rsidRPr="00C90D89">
        <w:rPr>
          <w:rFonts w:ascii="Times New Roman" w:hAnsi="Times New Roman" w:cs="Times New Roman"/>
        </w:rPr>
        <w:t xml:space="preserve">  </w:t>
      </w:r>
    </w:p>
    <w:p w14:paraId="6F1BCF90" w14:textId="77777777" w:rsidR="000012AB" w:rsidRPr="00C90D89" w:rsidRDefault="000012AB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EE9D5E9" w14:textId="77777777" w:rsidR="0059278E" w:rsidRPr="00C90D89" w:rsidRDefault="009C6CD8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Isso porque, ainda que se entendesse haver competências sobrepostas (de um lado, uma competência explícita da União para explorar serviços e instalações de energia elétrica; de outro, uma competência tácita do Mun</w:t>
      </w:r>
      <w:r w:rsidR="005D6B23" w:rsidRPr="00C90D89">
        <w:rPr>
          <w:rFonts w:ascii="Times New Roman" w:hAnsi="Times New Roman" w:cs="Times New Roman"/>
        </w:rPr>
        <w:t>ic</w:t>
      </w:r>
      <w:r w:rsidRPr="00C90D89">
        <w:rPr>
          <w:rFonts w:ascii="Times New Roman" w:hAnsi="Times New Roman" w:cs="Times New Roman"/>
        </w:rPr>
        <w:t>í</w:t>
      </w:r>
      <w:r w:rsidR="005D6B23" w:rsidRPr="00C90D89">
        <w:rPr>
          <w:rFonts w:ascii="Times New Roman" w:hAnsi="Times New Roman" w:cs="Times New Roman"/>
        </w:rPr>
        <w:t>p</w:t>
      </w:r>
      <w:r w:rsidRPr="00C90D89">
        <w:rPr>
          <w:rFonts w:ascii="Times New Roman" w:hAnsi="Times New Roman" w:cs="Times New Roman"/>
        </w:rPr>
        <w:t xml:space="preserve">io, por haver interesse local na iluminação pública), </w:t>
      </w:r>
      <w:r w:rsidR="00A121C7" w:rsidRPr="00C90D89">
        <w:rPr>
          <w:rFonts w:ascii="Times New Roman" w:hAnsi="Times New Roman" w:cs="Times New Roman"/>
        </w:rPr>
        <w:t xml:space="preserve">os </w:t>
      </w:r>
      <w:r w:rsidR="00F87432" w:rsidRPr="00C90D89">
        <w:rPr>
          <w:rFonts w:ascii="Times New Roman" w:hAnsi="Times New Roman" w:cs="Times New Roman"/>
        </w:rPr>
        <w:t>modos</w:t>
      </w:r>
      <w:r w:rsidR="00A121C7" w:rsidRPr="00C90D89">
        <w:rPr>
          <w:rFonts w:ascii="Times New Roman" w:hAnsi="Times New Roman" w:cs="Times New Roman"/>
        </w:rPr>
        <w:t xml:space="preserve"> </w:t>
      </w:r>
      <w:r w:rsidR="005D6B23" w:rsidRPr="00C90D89">
        <w:rPr>
          <w:rFonts w:ascii="Times New Roman" w:hAnsi="Times New Roman" w:cs="Times New Roman"/>
        </w:rPr>
        <w:t xml:space="preserve">interpretativos </w:t>
      </w:r>
      <w:r w:rsidR="00F87432" w:rsidRPr="00C90D89">
        <w:rPr>
          <w:rFonts w:ascii="Times New Roman" w:hAnsi="Times New Roman" w:cs="Times New Roman"/>
        </w:rPr>
        <w:t xml:space="preserve">de </w:t>
      </w:r>
      <w:r w:rsidR="00A121C7" w:rsidRPr="00C90D89">
        <w:rPr>
          <w:rFonts w:ascii="Times New Roman" w:hAnsi="Times New Roman" w:cs="Times New Roman"/>
        </w:rPr>
        <w:t>dirimir essa sobreposição de competências dão conta de que a iluminação pública deve ser considerada uma atribuição da União</w:t>
      </w:r>
      <w:r w:rsidR="00F87432" w:rsidRPr="00C90D89">
        <w:rPr>
          <w:rFonts w:ascii="Times New Roman" w:hAnsi="Times New Roman" w:cs="Times New Roman"/>
        </w:rPr>
        <w:t xml:space="preserve">. </w:t>
      </w:r>
      <w:r w:rsidR="0059278E" w:rsidRPr="007E1E42">
        <w:rPr>
          <w:rFonts w:ascii="Times New Roman" w:hAnsi="Times New Roman" w:cs="Times New Roman"/>
          <w:u w:val="single"/>
        </w:rPr>
        <w:t xml:space="preserve">Consideram-se, aqui, </w:t>
      </w:r>
      <w:r w:rsidR="0059278E" w:rsidRPr="007E1E42">
        <w:rPr>
          <w:rFonts w:ascii="Times New Roman" w:hAnsi="Times New Roman" w:cs="Times New Roman"/>
          <w:b/>
          <w:u w:val="single"/>
        </w:rPr>
        <w:t>cinco motivos</w:t>
      </w:r>
      <w:r w:rsidR="0059278E" w:rsidRPr="00C90D89">
        <w:rPr>
          <w:rFonts w:ascii="Times New Roman" w:hAnsi="Times New Roman" w:cs="Times New Roman"/>
        </w:rPr>
        <w:t xml:space="preserve">. </w:t>
      </w:r>
    </w:p>
    <w:p w14:paraId="15BB541A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45AD6C7" w14:textId="7DCCB84E" w:rsidR="00F87432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Primeiro</w:t>
      </w:r>
      <w:r w:rsidRPr="00C90D89">
        <w:rPr>
          <w:rFonts w:ascii="Times New Roman" w:hAnsi="Times New Roman" w:cs="Times New Roman"/>
        </w:rPr>
        <w:t xml:space="preserve">, </w:t>
      </w:r>
      <w:r w:rsidR="000115A9" w:rsidRPr="00C90D89">
        <w:rPr>
          <w:rFonts w:ascii="Times New Roman" w:hAnsi="Times New Roman" w:cs="Times New Roman"/>
        </w:rPr>
        <w:t xml:space="preserve">a competência legislativa e a competência administrativa devem estar em compasso. Assim, aliás, já afirmou veementemente a Suprema Corte, em caso onde decidia sobre transporte intermunicipal: </w:t>
      </w:r>
      <w:r w:rsidRPr="00C90D89">
        <w:rPr>
          <w:rFonts w:ascii="Times New Roman" w:hAnsi="Times New Roman" w:cs="Times New Roman"/>
        </w:rPr>
        <w:t xml:space="preserve">“[...] </w:t>
      </w:r>
      <w:r w:rsidRPr="00C90D89">
        <w:rPr>
          <w:rFonts w:ascii="Times New Roman" w:hAnsi="Times New Roman" w:cs="Times New Roman"/>
          <w:i/>
        </w:rPr>
        <w:t>se a prestação desse serviço compete aos Estados-membros, esses detêm competência também para regulamentar essa prestação.</w:t>
      </w:r>
      <w:r w:rsidRPr="00C90D89">
        <w:rPr>
          <w:rFonts w:ascii="Times New Roman" w:hAnsi="Times New Roman" w:cs="Times New Roman"/>
        </w:rPr>
        <w:t>”</w:t>
      </w:r>
      <w:r w:rsidRPr="00C90D89">
        <w:rPr>
          <w:rStyle w:val="FootnoteReference"/>
          <w:rFonts w:ascii="Times New Roman" w:hAnsi="Times New Roman" w:cs="Times New Roman"/>
        </w:rPr>
        <w:footnoteReference w:id="9"/>
      </w:r>
      <w:r w:rsidR="000115A9" w:rsidRPr="00C90D89">
        <w:rPr>
          <w:rFonts w:ascii="Times New Roman" w:hAnsi="Times New Roman" w:cs="Times New Roman"/>
        </w:rPr>
        <w:t xml:space="preserve"> De fato, uma vez que a competência para legislar sobre energia é privativa da União (art. 22, IV), a regulamentação dessa </w:t>
      </w:r>
      <w:r w:rsidR="00860041" w:rsidRPr="00C90D89">
        <w:rPr>
          <w:rFonts w:ascii="Times New Roman" w:hAnsi="Times New Roman" w:cs="Times New Roman"/>
        </w:rPr>
        <w:t>competência deve permanecer com a União, o que não ocorreria caso o Município se responsabilizasse pelo serviço de iluminação pública. Fatalmente, acabaria, no dia-a-dia da manutenção do serviço, obrigado a baixar normativas de sua regulamentação em âmbito local.</w:t>
      </w:r>
    </w:p>
    <w:p w14:paraId="436D660A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179928A" w14:textId="77777777" w:rsidR="007E1E42" w:rsidRDefault="0059278E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Segundo</w:t>
      </w:r>
      <w:r w:rsidRPr="00C90D89">
        <w:rPr>
          <w:rFonts w:ascii="Times New Roman" w:hAnsi="Times New Roman" w:cs="Times New Roman"/>
        </w:rPr>
        <w:t xml:space="preserve">, </w:t>
      </w:r>
      <w:r w:rsidR="00ED5FC7" w:rsidRPr="00C90D89">
        <w:rPr>
          <w:rFonts w:ascii="Times New Roman" w:hAnsi="Times New Roman" w:cs="Times New Roman"/>
        </w:rPr>
        <w:t xml:space="preserve">uma necessidade de interpretação </w:t>
      </w:r>
      <w:r w:rsidRPr="00C90D89">
        <w:rPr>
          <w:rFonts w:ascii="Times New Roman" w:hAnsi="Times New Roman" w:cs="Times New Roman"/>
        </w:rPr>
        <w:t>sistemátic</w:t>
      </w:r>
      <w:r w:rsidR="00ED5FC7" w:rsidRPr="00C90D89">
        <w:rPr>
          <w:rFonts w:ascii="Times New Roman" w:hAnsi="Times New Roman" w:cs="Times New Roman"/>
        </w:rPr>
        <w:t xml:space="preserve">a da Constituição Federal. Na feliz expressão de Juarez Freitas, ao tratar </w:t>
      </w:r>
      <w:proofErr w:type="spellStart"/>
      <w:r w:rsidR="00ED5FC7" w:rsidRPr="00C90D89">
        <w:rPr>
          <w:rFonts w:ascii="Times New Roman" w:hAnsi="Times New Roman" w:cs="Times New Roman"/>
        </w:rPr>
        <w:t>monograficamente</w:t>
      </w:r>
      <w:proofErr w:type="spellEnd"/>
      <w:r w:rsidR="00ED5FC7" w:rsidRPr="00C90D89">
        <w:rPr>
          <w:rFonts w:ascii="Times New Roman" w:hAnsi="Times New Roman" w:cs="Times New Roman"/>
        </w:rPr>
        <w:t xml:space="preserve"> sobre o tema, pode-se dizer que “</w:t>
      </w:r>
      <w:r w:rsidR="00ED5FC7" w:rsidRPr="00C90D89">
        <w:rPr>
          <w:rFonts w:ascii="Times New Roman" w:hAnsi="Times New Roman" w:cs="Times New Roman"/>
          <w:i/>
        </w:rPr>
        <w:t>ou a interpretação jurídica é sistemática ou não é interpretação</w:t>
      </w:r>
      <w:r w:rsidR="00ED5FC7" w:rsidRPr="00C90D89">
        <w:rPr>
          <w:rFonts w:ascii="Times New Roman" w:hAnsi="Times New Roman" w:cs="Times New Roman"/>
        </w:rPr>
        <w:t>”</w:t>
      </w:r>
      <w:r w:rsidR="00ED5FC7" w:rsidRPr="00C90D89">
        <w:rPr>
          <w:rStyle w:val="FootnoteReference"/>
          <w:rFonts w:ascii="Times New Roman" w:hAnsi="Times New Roman" w:cs="Times New Roman"/>
        </w:rPr>
        <w:footnoteReference w:id="10"/>
      </w:r>
      <w:r w:rsidRPr="00C90D89">
        <w:rPr>
          <w:rFonts w:ascii="Times New Roman" w:hAnsi="Times New Roman" w:cs="Times New Roman"/>
        </w:rPr>
        <w:t xml:space="preserve">. </w:t>
      </w:r>
      <w:r w:rsidR="00ED5FC7" w:rsidRPr="00C90D89">
        <w:rPr>
          <w:rFonts w:ascii="Times New Roman" w:hAnsi="Times New Roman" w:cs="Times New Roman"/>
        </w:rPr>
        <w:t>Nesse ponto, o Supremo Tribunal já também afirmou a necessidade de se pensar</w:t>
      </w:r>
      <w:r w:rsidR="007E1E42">
        <w:rPr>
          <w:rFonts w:ascii="Times New Roman" w:hAnsi="Times New Roman" w:cs="Times New Roman"/>
        </w:rPr>
        <w:t>,</w:t>
      </w:r>
      <w:r w:rsidR="007E1E42" w:rsidRPr="007E1E42">
        <w:rPr>
          <w:rFonts w:ascii="Times New Roman" w:hAnsi="Times New Roman" w:cs="Times New Roman"/>
        </w:rPr>
        <w:t xml:space="preserve"> </w:t>
      </w:r>
      <w:r w:rsidR="007E1E42" w:rsidRPr="00C90D89">
        <w:rPr>
          <w:rFonts w:ascii="Times New Roman" w:hAnsi="Times New Roman" w:cs="Times New Roman"/>
        </w:rPr>
        <w:t xml:space="preserve">ao </w:t>
      </w:r>
      <w:r w:rsidR="007E1E42">
        <w:rPr>
          <w:rFonts w:ascii="Times New Roman" w:hAnsi="Times New Roman" w:cs="Times New Roman"/>
        </w:rPr>
        <w:t>decidir</w:t>
      </w:r>
      <w:r w:rsidR="007E1E42" w:rsidRPr="00C90D89">
        <w:rPr>
          <w:rFonts w:ascii="Times New Roman" w:hAnsi="Times New Roman" w:cs="Times New Roman"/>
        </w:rPr>
        <w:t xml:space="preserve"> conflitos de competência, sistematicamente</w:t>
      </w:r>
      <w:r w:rsidR="00ED5FC7" w:rsidRPr="00C90D89">
        <w:rPr>
          <w:rFonts w:ascii="Times New Roman" w:hAnsi="Times New Roman" w:cs="Times New Roman"/>
        </w:rPr>
        <w:t xml:space="preserve">, </w:t>
      </w:r>
      <w:r w:rsidR="007E1E42">
        <w:rPr>
          <w:rFonts w:ascii="Times New Roman" w:hAnsi="Times New Roman" w:cs="Times New Roman"/>
        </w:rPr>
        <w:t>o que importa entender a</w:t>
      </w:r>
      <w:r w:rsidR="00ED5FC7" w:rsidRPr="00C90D89">
        <w:rPr>
          <w:rFonts w:ascii="Times New Roman" w:hAnsi="Times New Roman" w:cs="Times New Roman"/>
        </w:rPr>
        <w:t xml:space="preserve"> estrutura da Carta Magna</w:t>
      </w:r>
      <w:r w:rsidR="007E1E42">
        <w:rPr>
          <w:rFonts w:ascii="Times New Roman" w:hAnsi="Times New Roman" w:cs="Times New Roman"/>
        </w:rPr>
        <w:t xml:space="preserve"> sobre os temas objeto de dúvida</w:t>
      </w:r>
      <w:r w:rsidR="00ED5FC7" w:rsidRPr="00C90D89">
        <w:rPr>
          <w:rFonts w:ascii="Times New Roman" w:hAnsi="Times New Roman" w:cs="Times New Roman"/>
        </w:rPr>
        <w:t xml:space="preserve">. Assim fez </w:t>
      </w:r>
      <w:r w:rsidR="007E1E42">
        <w:rPr>
          <w:rFonts w:ascii="Times New Roman" w:hAnsi="Times New Roman" w:cs="Times New Roman"/>
        </w:rPr>
        <w:t xml:space="preserve">o STF, por exemplo, </w:t>
      </w:r>
      <w:r w:rsidR="00ED5FC7" w:rsidRPr="00C90D89">
        <w:rPr>
          <w:rFonts w:ascii="Times New Roman" w:hAnsi="Times New Roman" w:cs="Times New Roman"/>
        </w:rPr>
        <w:t>quando decidiu que l</w:t>
      </w:r>
      <w:r w:rsidRPr="00C90D89">
        <w:rPr>
          <w:rFonts w:ascii="Times New Roman" w:hAnsi="Times New Roman" w:cs="Times New Roman"/>
        </w:rPr>
        <w:t xml:space="preserve">ei estadual </w:t>
      </w:r>
      <w:r w:rsidR="00ED5FC7" w:rsidRPr="00C90D89">
        <w:rPr>
          <w:rFonts w:ascii="Times New Roman" w:hAnsi="Times New Roman" w:cs="Times New Roman"/>
        </w:rPr>
        <w:t>que vedava cobrança de tarifa básica nos contratos de telefonia</w:t>
      </w:r>
      <w:r w:rsidR="007E1E42">
        <w:rPr>
          <w:rFonts w:ascii="Times New Roman" w:hAnsi="Times New Roman" w:cs="Times New Roman"/>
        </w:rPr>
        <w:t>,</w:t>
      </w:r>
      <w:r w:rsidR="007E1E42" w:rsidRPr="00C90D89">
        <w:rPr>
          <w:rFonts w:ascii="Times New Roman" w:hAnsi="Times New Roman" w:cs="Times New Roman"/>
        </w:rPr>
        <w:t xml:space="preserve"> por adentrar em competência da União</w:t>
      </w:r>
      <w:r w:rsidR="007E1E42">
        <w:rPr>
          <w:rFonts w:ascii="Times New Roman" w:hAnsi="Times New Roman" w:cs="Times New Roman"/>
        </w:rPr>
        <w:t>,</w:t>
      </w:r>
      <w:r w:rsidR="00ED5FC7" w:rsidRPr="00C90D89">
        <w:rPr>
          <w:rFonts w:ascii="Times New Roman" w:hAnsi="Times New Roman" w:cs="Times New Roman"/>
        </w:rPr>
        <w:t xml:space="preserve"> </w:t>
      </w:r>
      <w:r w:rsidR="007E1E42">
        <w:rPr>
          <w:rFonts w:ascii="Times New Roman" w:hAnsi="Times New Roman" w:cs="Times New Roman"/>
        </w:rPr>
        <w:t>é inconstitucional</w:t>
      </w:r>
      <w:r w:rsidRPr="00C90D89">
        <w:rPr>
          <w:rFonts w:ascii="Times New Roman" w:hAnsi="Times New Roman" w:cs="Times New Roman"/>
        </w:rPr>
        <w:t xml:space="preserve">. </w:t>
      </w:r>
      <w:r w:rsidR="00ED5FC7" w:rsidRPr="00C90D89">
        <w:rPr>
          <w:rFonts w:ascii="Times New Roman" w:hAnsi="Times New Roman" w:cs="Times New Roman"/>
        </w:rPr>
        <w:t xml:space="preserve">Nas palavras do </w:t>
      </w:r>
      <w:r w:rsidRPr="00C90D89">
        <w:rPr>
          <w:rFonts w:ascii="Times New Roman" w:hAnsi="Times New Roman" w:cs="Times New Roman"/>
        </w:rPr>
        <w:t>relator, “</w:t>
      </w:r>
      <w:r w:rsidRPr="00C90D89">
        <w:rPr>
          <w:rFonts w:ascii="Times New Roman" w:hAnsi="Times New Roman" w:cs="Times New Roman"/>
          <w:i/>
        </w:rPr>
        <w:t>deve-se conferir se essa situação sujeita-se à estrutura básica descrita na competência em análise. Ainda, deve-se observar o fim primário a que se destina a norma.</w:t>
      </w:r>
      <w:r w:rsidRPr="00C90D89">
        <w:rPr>
          <w:rFonts w:ascii="Times New Roman" w:hAnsi="Times New Roman" w:cs="Times New Roman"/>
        </w:rPr>
        <w:t>”</w:t>
      </w:r>
      <w:r w:rsidRPr="00C90D89">
        <w:rPr>
          <w:rStyle w:val="FootnoteReference"/>
          <w:rFonts w:ascii="Times New Roman" w:hAnsi="Times New Roman" w:cs="Times New Roman"/>
        </w:rPr>
        <w:t xml:space="preserve"> </w:t>
      </w:r>
      <w:r w:rsidRPr="00C90D89">
        <w:rPr>
          <w:rStyle w:val="FootnoteReference"/>
          <w:rFonts w:ascii="Times New Roman" w:hAnsi="Times New Roman" w:cs="Times New Roman"/>
        </w:rPr>
        <w:footnoteReference w:id="11"/>
      </w:r>
      <w:r w:rsidRPr="00C90D89">
        <w:rPr>
          <w:rFonts w:ascii="Times New Roman" w:hAnsi="Times New Roman" w:cs="Times New Roman"/>
        </w:rPr>
        <w:t xml:space="preserve"> </w:t>
      </w:r>
    </w:p>
    <w:p w14:paraId="7696BB69" w14:textId="77777777" w:rsidR="007E1E42" w:rsidRDefault="007E1E42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A348229" w14:textId="1FF78ADB" w:rsidR="00706E1D" w:rsidRPr="00C90D89" w:rsidRDefault="00ED5FC7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Assim como a Constituição confere aos Municípios competência para legislar sobre “interesse local” (art. 30, I), confere a eles competência para administrar sobre “interesse local” (art. 30, V). </w:t>
      </w:r>
      <w:r w:rsidR="00203A52" w:rsidRPr="00C90D89">
        <w:rPr>
          <w:rFonts w:ascii="Times New Roman" w:hAnsi="Times New Roman" w:cs="Times New Roman"/>
        </w:rPr>
        <w:t xml:space="preserve">Só que essas competências sobre interesse local devem ser entendidas de acordo com </w:t>
      </w:r>
      <w:r w:rsidR="00D0789E" w:rsidRPr="00C90D89">
        <w:rPr>
          <w:rFonts w:ascii="Times New Roman" w:hAnsi="Times New Roman" w:cs="Times New Roman"/>
        </w:rPr>
        <w:t>a estrutura do texto constitucional</w:t>
      </w:r>
      <w:r w:rsidR="00203A52" w:rsidRPr="00C90D89">
        <w:rPr>
          <w:rFonts w:ascii="Times New Roman" w:hAnsi="Times New Roman" w:cs="Times New Roman"/>
        </w:rPr>
        <w:t xml:space="preserve">, em uma interpretação sistemática dele. </w:t>
      </w:r>
      <w:r w:rsidR="00706E1D" w:rsidRPr="00C90D89">
        <w:rPr>
          <w:rFonts w:ascii="Times New Roman" w:hAnsi="Times New Roman" w:cs="Times New Roman"/>
        </w:rPr>
        <w:t>E, também, de acordo com sua estrutura infraconstitucional, caso em que ressoa o comando do art. 8º do Decreto-Lei 3.763/1941</w:t>
      </w:r>
      <w:r w:rsidR="00706E1D" w:rsidRPr="00C90D89">
        <w:rPr>
          <w:rStyle w:val="FootnoteReference"/>
          <w:rFonts w:ascii="Times New Roman" w:hAnsi="Times New Roman" w:cs="Times New Roman"/>
        </w:rPr>
        <w:footnoteReference w:id="12"/>
      </w:r>
      <w:r w:rsidR="00706E1D" w:rsidRPr="00C90D89">
        <w:rPr>
          <w:rFonts w:ascii="Times New Roman" w:hAnsi="Times New Roman" w:cs="Times New Roman"/>
        </w:rPr>
        <w:t xml:space="preserve">, segundo o qual as redes de distribuição dependem de concessão e autorização federal e, nos casos de iluminação pública, devem ser realizados contratos de fornecimento entre os Municípios e as concessionárias, de acordo com o contrato de concessão estabelecido entre estas e o Governo Federal. </w:t>
      </w:r>
    </w:p>
    <w:p w14:paraId="03068EE0" w14:textId="77777777" w:rsidR="00706E1D" w:rsidRPr="00C90D89" w:rsidRDefault="00706E1D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C95C70" w14:textId="73237DAB" w:rsidR="0059278E" w:rsidRPr="00C90D89" w:rsidRDefault="00706E1D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E42">
        <w:rPr>
          <w:rFonts w:ascii="Times New Roman" w:hAnsi="Times New Roman" w:cs="Times New Roman"/>
          <w:u w:val="single"/>
        </w:rPr>
        <w:t xml:space="preserve">Realizando uma interpretação sistemática, pois, </w:t>
      </w:r>
      <w:r w:rsidR="00203A52" w:rsidRPr="007E1E42">
        <w:rPr>
          <w:rFonts w:ascii="Times New Roman" w:hAnsi="Times New Roman" w:cs="Times New Roman"/>
          <w:u w:val="single"/>
        </w:rPr>
        <w:t xml:space="preserve">impossível deixar de concluir que a Constituição concedeu à União </w:t>
      </w:r>
      <w:r w:rsidR="00D0789E" w:rsidRPr="007E1E42">
        <w:rPr>
          <w:rFonts w:ascii="Times New Roman" w:hAnsi="Times New Roman" w:cs="Times New Roman"/>
          <w:u w:val="single"/>
        </w:rPr>
        <w:t xml:space="preserve">– e fez isso em diversos dispositivos – </w:t>
      </w:r>
      <w:r w:rsidR="00203A52" w:rsidRPr="007E1E42">
        <w:rPr>
          <w:rFonts w:ascii="Times New Roman" w:hAnsi="Times New Roman" w:cs="Times New Roman"/>
          <w:u w:val="single"/>
        </w:rPr>
        <w:t>a competência legislativa e administrativa sobre a energia elétrica, seus serviços e instalações</w:t>
      </w:r>
      <w:r w:rsidR="00203A52" w:rsidRPr="00C90D89">
        <w:rPr>
          <w:rFonts w:ascii="Times New Roman" w:hAnsi="Times New Roman" w:cs="Times New Roman"/>
        </w:rPr>
        <w:t xml:space="preserve">. Essa interpretação sistemática, aliás, afasta também o argumento de que </w:t>
      </w:r>
      <w:r w:rsidR="0059278E" w:rsidRPr="00C90D89">
        <w:rPr>
          <w:rFonts w:ascii="Times New Roman" w:hAnsi="Times New Roman" w:cs="Times New Roman"/>
        </w:rPr>
        <w:t>art. 149-A da CF</w:t>
      </w:r>
      <w:r w:rsidR="00203A52" w:rsidRPr="00C90D89">
        <w:rPr>
          <w:rFonts w:ascii="Times New Roman" w:hAnsi="Times New Roman" w:cs="Times New Roman"/>
        </w:rPr>
        <w:t xml:space="preserve"> significa competência administrativa dos Municípios sobre iluminação pública. Lido corretamente, esse dispositivo </w:t>
      </w:r>
      <w:r w:rsidR="0059278E" w:rsidRPr="00C90D89">
        <w:rPr>
          <w:rFonts w:ascii="Times New Roman" w:hAnsi="Times New Roman" w:cs="Times New Roman"/>
        </w:rPr>
        <w:t xml:space="preserve">institui contribuição para o custeio do serviço de iluminação pública. </w:t>
      </w:r>
      <w:r w:rsidR="00203A52" w:rsidRPr="00C90D89">
        <w:rPr>
          <w:rFonts w:ascii="Times New Roman" w:hAnsi="Times New Roman" w:cs="Times New Roman"/>
        </w:rPr>
        <w:t>Isso é, abriu uma possibilidade de o Município arrecadar valores para custear a iluminação pública, a ser prestada por uma concessionária. Esse dispositivo – e mesmo uma interpretação forçada, se honesta, poderia chegar a uma tal conclusão – obrigou que os Municípios prestassem, diretamente ou por novas concessões, o serviços de instalação de iluminação pública. Em outras palavras, deu aos munic</w:t>
      </w:r>
      <w:r w:rsidR="00764CFF" w:rsidRPr="00C90D89">
        <w:rPr>
          <w:rFonts w:ascii="Times New Roman" w:hAnsi="Times New Roman" w:cs="Times New Roman"/>
        </w:rPr>
        <w:t>í</w:t>
      </w:r>
      <w:r w:rsidR="00203A52" w:rsidRPr="00C90D89">
        <w:rPr>
          <w:rFonts w:ascii="Times New Roman" w:hAnsi="Times New Roman" w:cs="Times New Roman"/>
        </w:rPr>
        <w:t>pios um instrumento para pode</w:t>
      </w:r>
      <w:r w:rsidR="007E1E42">
        <w:rPr>
          <w:rFonts w:ascii="Times New Roman" w:hAnsi="Times New Roman" w:cs="Times New Roman"/>
        </w:rPr>
        <w:t>r</w:t>
      </w:r>
      <w:r w:rsidR="00203A52" w:rsidRPr="00C90D89">
        <w:rPr>
          <w:rFonts w:ascii="Times New Roman" w:hAnsi="Times New Roman" w:cs="Times New Roman"/>
        </w:rPr>
        <w:t xml:space="preserve"> pagar as tarifas, na mesma lógica que se aplica aos consumidores </w:t>
      </w:r>
      <w:r w:rsidR="007E1E42">
        <w:rPr>
          <w:rFonts w:ascii="Times New Roman" w:hAnsi="Times New Roman" w:cs="Times New Roman"/>
        </w:rPr>
        <w:t>convencionais</w:t>
      </w:r>
      <w:r w:rsidR="00203A52" w:rsidRPr="00C90D89">
        <w:rPr>
          <w:rFonts w:ascii="Times New Roman" w:hAnsi="Times New Roman" w:cs="Times New Roman"/>
        </w:rPr>
        <w:t xml:space="preserve"> de energia. </w:t>
      </w:r>
    </w:p>
    <w:p w14:paraId="1AEC2F0C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EB0FC8E" w14:textId="565150FC" w:rsidR="00764CFF" w:rsidRPr="00C90D89" w:rsidRDefault="0059278E" w:rsidP="00764C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Terceiro</w:t>
      </w:r>
      <w:r w:rsidRPr="00C90D89">
        <w:rPr>
          <w:rFonts w:ascii="Times New Roman" w:hAnsi="Times New Roman" w:cs="Times New Roman"/>
        </w:rPr>
        <w:t xml:space="preserve">, </w:t>
      </w:r>
      <w:r w:rsidR="00764CFF" w:rsidRPr="00C90D89">
        <w:rPr>
          <w:rFonts w:ascii="Times New Roman" w:hAnsi="Times New Roman" w:cs="Times New Roman"/>
        </w:rPr>
        <w:t xml:space="preserve">a não atribuição de competência dos municípios sobre o serviço de instalação de energia elétrica pode ser verificada, também, em uma interpretação a </w:t>
      </w:r>
      <w:proofErr w:type="spellStart"/>
      <w:r w:rsidRPr="00C90D89">
        <w:rPr>
          <w:rFonts w:ascii="Times New Roman" w:hAnsi="Times New Roman" w:cs="Times New Roman"/>
          <w:i/>
        </w:rPr>
        <w:t>contratio</w:t>
      </w:r>
      <w:proofErr w:type="spellEnd"/>
      <w:r w:rsidRPr="00C90D89">
        <w:rPr>
          <w:rFonts w:ascii="Times New Roman" w:hAnsi="Times New Roman" w:cs="Times New Roman"/>
          <w:i/>
        </w:rPr>
        <w:t xml:space="preserve"> sensu</w:t>
      </w:r>
      <w:r w:rsidR="00764CFF" w:rsidRPr="00C90D89">
        <w:rPr>
          <w:rFonts w:ascii="Times New Roman" w:hAnsi="Times New Roman" w:cs="Times New Roman"/>
        </w:rPr>
        <w:t xml:space="preserve"> do art. 21, XII, “b” da Constituição. Segundo sua redação, “</w:t>
      </w:r>
      <w:r w:rsidR="00764CFF" w:rsidRPr="00C90D89">
        <w:rPr>
          <w:rFonts w:ascii="Times New Roman" w:hAnsi="Times New Roman" w:cs="Times New Roman"/>
          <w:i/>
        </w:rPr>
        <w:t xml:space="preserve">compete à União explorar, diretamente ou mediante autorização, concessão ou permissão, os serviços e instalações de energia elétrica e o aproveitamento energético dos cursos de água, em articulação com os Estados onde se situam os potenciais </w:t>
      </w:r>
      <w:proofErr w:type="spellStart"/>
      <w:r w:rsidR="00764CFF" w:rsidRPr="00C90D89">
        <w:rPr>
          <w:rFonts w:ascii="Times New Roman" w:hAnsi="Times New Roman" w:cs="Times New Roman"/>
          <w:i/>
        </w:rPr>
        <w:t>hidroenergéticos</w:t>
      </w:r>
      <w:proofErr w:type="spellEnd"/>
      <w:r w:rsidR="00764CFF" w:rsidRPr="00C90D89">
        <w:rPr>
          <w:rFonts w:ascii="Times New Roman" w:hAnsi="Times New Roman" w:cs="Times New Roman"/>
        </w:rPr>
        <w:t>”. Outra forma de ler o dispositivo, pois – considerando que a exploração compete à União, em articulação com os Estados onde situados os potenciais energéticos</w:t>
      </w:r>
      <w:r w:rsidR="005F5CE9" w:rsidRPr="00C90D89">
        <w:rPr>
          <w:rFonts w:ascii="Times New Roman" w:hAnsi="Times New Roman" w:cs="Times New Roman"/>
        </w:rPr>
        <w:t xml:space="preserve"> – é aquela que diz: </w:t>
      </w:r>
      <w:r w:rsidR="0040217C" w:rsidRPr="00C90D89">
        <w:rPr>
          <w:rFonts w:ascii="Times New Roman" w:hAnsi="Times New Roman" w:cs="Times New Roman"/>
        </w:rPr>
        <w:t xml:space="preserve">em nenhuma hipótese, há </w:t>
      </w:r>
      <w:r w:rsidR="005F5CE9" w:rsidRPr="00C90D89">
        <w:rPr>
          <w:rFonts w:ascii="Times New Roman" w:hAnsi="Times New Roman" w:cs="Times New Roman"/>
        </w:rPr>
        <w:t>compet</w:t>
      </w:r>
      <w:r w:rsidR="0040217C" w:rsidRPr="00C90D89">
        <w:rPr>
          <w:rFonts w:ascii="Times New Roman" w:hAnsi="Times New Roman" w:cs="Times New Roman"/>
        </w:rPr>
        <w:t>ência</w:t>
      </w:r>
      <w:r w:rsidR="005F5CE9" w:rsidRPr="00C90D89">
        <w:rPr>
          <w:rFonts w:ascii="Times New Roman" w:hAnsi="Times New Roman" w:cs="Times New Roman"/>
        </w:rPr>
        <w:t xml:space="preserve"> </w:t>
      </w:r>
      <w:r w:rsidR="0040217C" w:rsidRPr="00C90D89">
        <w:rPr>
          <w:rFonts w:ascii="Times New Roman" w:hAnsi="Times New Roman" w:cs="Times New Roman"/>
        </w:rPr>
        <w:t>d</w:t>
      </w:r>
      <w:r w:rsidR="005F5CE9" w:rsidRPr="00C90D89">
        <w:rPr>
          <w:rFonts w:ascii="Times New Roman" w:hAnsi="Times New Roman" w:cs="Times New Roman"/>
        </w:rPr>
        <w:t xml:space="preserve">os Municípios </w:t>
      </w:r>
      <w:r w:rsidR="0040217C" w:rsidRPr="00C90D89">
        <w:rPr>
          <w:rFonts w:ascii="Times New Roman" w:hAnsi="Times New Roman" w:cs="Times New Roman"/>
        </w:rPr>
        <w:t xml:space="preserve">para </w:t>
      </w:r>
      <w:r w:rsidR="005F5CE9" w:rsidRPr="00C90D89">
        <w:rPr>
          <w:rFonts w:ascii="Times New Roman" w:hAnsi="Times New Roman" w:cs="Times New Roman"/>
        </w:rPr>
        <w:t>a exploração dos serviços e instalações de energia elé</w:t>
      </w:r>
      <w:r w:rsidR="0040217C" w:rsidRPr="00C90D89">
        <w:rPr>
          <w:rFonts w:ascii="Times New Roman" w:hAnsi="Times New Roman" w:cs="Times New Roman"/>
        </w:rPr>
        <w:t>trica</w:t>
      </w:r>
      <w:r w:rsidR="005F5CE9" w:rsidRPr="00C90D89">
        <w:rPr>
          <w:rFonts w:ascii="Times New Roman" w:hAnsi="Times New Roman" w:cs="Times New Roman"/>
        </w:rPr>
        <w:t>.</w:t>
      </w:r>
      <w:r w:rsidR="005F5CE9" w:rsidRPr="00C90D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D5A99A" w14:textId="77777777" w:rsidR="00764CFF" w:rsidRPr="00C90D89" w:rsidRDefault="00764CFF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350165A" w14:textId="12FB2242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Quarto</w:t>
      </w:r>
      <w:r w:rsidRPr="00C90D89">
        <w:rPr>
          <w:rFonts w:ascii="Times New Roman" w:hAnsi="Times New Roman" w:cs="Times New Roman"/>
        </w:rPr>
        <w:t xml:space="preserve">, </w:t>
      </w:r>
      <w:r w:rsidR="00EF282F" w:rsidRPr="00C90D89">
        <w:rPr>
          <w:rFonts w:ascii="Times New Roman" w:hAnsi="Times New Roman" w:cs="Times New Roman"/>
        </w:rPr>
        <w:t xml:space="preserve">a questão poder-se-ia resolver, também, de acordo com o critério da especialidade. </w:t>
      </w:r>
      <w:r w:rsidR="0034513D" w:rsidRPr="00C90D89">
        <w:rPr>
          <w:rFonts w:ascii="Times New Roman" w:hAnsi="Times New Roman" w:cs="Times New Roman"/>
        </w:rPr>
        <w:t>Esse critério, ensina Norberto Bobbio, “</w:t>
      </w:r>
      <w:r w:rsidR="0034513D" w:rsidRPr="00C90D89">
        <w:rPr>
          <w:rFonts w:ascii="Times New Roman" w:hAnsi="Times New Roman" w:cs="Times New Roman"/>
          <w:i/>
        </w:rPr>
        <w:t xml:space="preserve">é aquele com base em que, de duas normas incompatíveis, uma geral e uma especial (ou excepcional), prevalece a segunda: </w:t>
      </w:r>
      <w:proofErr w:type="spellStart"/>
      <w:r w:rsidR="0034513D" w:rsidRPr="00C90D89">
        <w:rPr>
          <w:rFonts w:ascii="Times New Roman" w:hAnsi="Times New Roman" w:cs="Times New Roman"/>
        </w:rPr>
        <w:t>lex</w:t>
      </w:r>
      <w:proofErr w:type="spellEnd"/>
      <w:r w:rsidR="0034513D" w:rsidRPr="00C90D89">
        <w:rPr>
          <w:rFonts w:ascii="Times New Roman" w:hAnsi="Times New Roman" w:cs="Times New Roman"/>
        </w:rPr>
        <w:t xml:space="preserve"> </w:t>
      </w:r>
      <w:proofErr w:type="spellStart"/>
      <w:r w:rsidR="0034513D" w:rsidRPr="00C90D89">
        <w:rPr>
          <w:rFonts w:ascii="Times New Roman" w:hAnsi="Times New Roman" w:cs="Times New Roman"/>
        </w:rPr>
        <w:t>specialis</w:t>
      </w:r>
      <w:proofErr w:type="spellEnd"/>
      <w:r w:rsidR="0034513D" w:rsidRPr="00C90D89">
        <w:rPr>
          <w:rFonts w:ascii="Times New Roman" w:hAnsi="Times New Roman" w:cs="Times New Roman"/>
        </w:rPr>
        <w:t xml:space="preserve"> </w:t>
      </w:r>
      <w:proofErr w:type="spellStart"/>
      <w:r w:rsidR="0034513D" w:rsidRPr="00C90D89">
        <w:rPr>
          <w:rFonts w:ascii="Times New Roman" w:hAnsi="Times New Roman" w:cs="Times New Roman"/>
        </w:rPr>
        <w:t>derogat</w:t>
      </w:r>
      <w:proofErr w:type="spellEnd"/>
      <w:r w:rsidR="0034513D" w:rsidRPr="00C90D89">
        <w:rPr>
          <w:rFonts w:ascii="Times New Roman" w:hAnsi="Times New Roman" w:cs="Times New Roman"/>
        </w:rPr>
        <w:t xml:space="preserve"> </w:t>
      </w:r>
      <w:proofErr w:type="spellStart"/>
      <w:r w:rsidR="0034513D" w:rsidRPr="00C90D89">
        <w:rPr>
          <w:rFonts w:ascii="Times New Roman" w:hAnsi="Times New Roman" w:cs="Times New Roman"/>
        </w:rPr>
        <w:t>generali</w:t>
      </w:r>
      <w:proofErr w:type="spellEnd"/>
      <w:r w:rsidR="0034513D" w:rsidRPr="00C90D89">
        <w:rPr>
          <w:rFonts w:ascii="Times New Roman" w:hAnsi="Times New Roman" w:cs="Times New Roman"/>
          <w:i/>
        </w:rPr>
        <w:t>.</w:t>
      </w:r>
      <w:r w:rsidR="0034513D" w:rsidRPr="00C90D89">
        <w:rPr>
          <w:rFonts w:ascii="Times New Roman" w:hAnsi="Times New Roman" w:cs="Times New Roman"/>
        </w:rPr>
        <w:t>”</w:t>
      </w:r>
      <w:r w:rsidR="0034513D" w:rsidRPr="00C90D89">
        <w:rPr>
          <w:rStyle w:val="FootnoteReference"/>
          <w:rFonts w:ascii="Times New Roman" w:hAnsi="Times New Roman" w:cs="Times New Roman"/>
        </w:rPr>
        <w:footnoteReference w:id="13"/>
      </w:r>
      <w:r w:rsidR="0034513D" w:rsidRPr="00C90D89">
        <w:rPr>
          <w:rFonts w:ascii="Times New Roman" w:hAnsi="Times New Roman" w:cs="Times New Roman"/>
        </w:rPr>
        <w:t xml:space="preserve"> </w:t>
      </w:r>
      <w:r w:rsidR="00EF282F" w:rsidRPr="00C90D89">
        <w:rPr>
          <w:rFonts w:ascii="Times New Roman" w:hAnsi="Times New Roman" w:cs="Times New Roman"/>
        </w:rPr>
        <w:t xml:space="preserve">Normalmente, se o aplica no conflito de leis. </w:t>
      </w:r>
      <w:r w:rsidR="003D4711">
        <w:rPr>
          <w:rFonts w:ascii="Times New Roman" w:hAnsi="Times New Roman" w:cs="Times New Roman"/>
        </w:rPr>
        <w:t>O critério da</w:t>
      </w:r>
      <w:r w:rsidR="00EF282F" w:rsidRPr="00C90D89">
        <w:rPr>
          <w:rFonts w:ascii="Times New Roman" w:hAnsi="Times New Roman" w:cs="Times New Roman"/>
        </w:rPr>
        <w:t xml:space="preserve"> especialidade, porém, é sempre um norte interpretativo, mesmo quando a dúvida não esteja entre diferentes leis, mas no mesmo diploma</w:t>
      </w:r>
      <w:r w:rsidR="0034513D" w:rsidRPr="00C90D89">
        <w:rPr>
          <w:rFonts w:ascii="Times New Roman" w:hAnsi="Times New Roman" w:cs="Times New Roman"/>
        </w:rPr>
        <w:t>, como ocorre com a Constituição no caso em análise</w:t>
      </w:r>
      <w:r w:rsidR="00EF282F" w:rsidRPr="00C90D89">
        <w:rPr>
          <w:rFonts w:ascii="Times New Roman" w:hAnsi="Times New Roman" w:cs="Times New Roman"/>
        </w:rPr>
        <w:t xml:space="preserve">. Por esse critério, pode-se dizer que </w:t>
      </w:r>
      <w:r w:rsidR="00EF282F" w:rsidRPr="003D4711">
        <w:rPr>
          <w:rFonts w:ascii="Times New Roman" w:hAnsi="Times New Roman" w:cs="Times New Roman"/>
          <w:u w:val="single"/>
        </w:rPr>
        <w:t>a competência explícita da União para explorar os serviços e instalações de energia elétrica (e neles se inclui a iluminação pública)</w:t>
      </w:r>
      <w:r w:rsidR="0034513D" w:rsidRPr="003D4711">
        <w:rPr>
          <w:rFonts w:ascii="Times New Roman" w:hAnsi="Times New Roman" w:cs="Times New Roman"/>
          <w:u w:val="single"/>
        </w:rPr>
        <w:t xml:space="preserve"> deve </w:t>
      </w:r>
      <w:r w:rsidR="00EF282F" w:rsidRPr="003D4711">
        <w:rPr>
          <w:rFonts w:ascii="Times New Roman" w:hAnsi="Times New Roman" w:cs="Times New Roman"/>
          <w:u w:val="single"/>
        </w:rPr>
        <w:t>prepondera</w:t>
      </w:r>
      <w:r w:rsidR="0034513D" w:rsidRPr="003D4711">
        <w:rPr>
          <w:rFonts w:ascii="Times New Roman" w:hAnsi="Times New Roman" w:cs="Times New Roman"/>
          <w:u w:val="single"/>
        </w:rPr>
        <w:t>r</w:t>
      </w:r>
      <w:r w:rsidR="00EF282F" w:rsidRPr="003D4711">
        <w:rPr>
          <w:rFonts w:ascii="Times New Roman" w:hAnsi="Times New Roman" w:cs="Times New Roman"/>
          <w:u w:val="single"/>
        </w:rPr>
        <w:t xml:space="preserve"> sobre a competência genérica dos municípios de explorar serviços de “interesse local”</w:t>
      </w:r>
      <w:r w:rsidR="00EF282F" w:rsidRPr="00C90D89">
        <w:rPr>
          <w:rFonts w:ascii="Times New Roman" w:hAnsi="Times New Roman" w:cs="Times New Roman"/>
        </w:rPr>
        <w:t xml:space="preserve">. </w:t>
      </w:r>
    </w:p>
    <w:p w14:paraId="22763691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205613B" w14:textId="39E48833" w:rsidR="00BE4F5D" w:rsidRPr="00C90D89" w:rsidRDefault="0059278E" w:rsidP="005927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Quinto</w:t>
      </w:r>
      <w:r w:rsidRPr="00C90D89">
        <w:rPr>
          <w:rFonts w:ascii="Times New Roman" w:hAnsi="Times New Roman" w:cs="Times New Roman"/>
        </w:rPr>
        <w:t xml:space="preserve">, </w:t>
      </w:r>
      <w:r w:rsidR="0091577D" w:rsidRPr="00C90D89">
        <w:rPr>
          <w:rFonts w:ascii="Times New Roman" w:hAnsi="Times New Roman" w:cs="Times New Roman"/>
        </w:rPr>
        <w:t>poder-se-ia falar, por fim, em uma “</w:t>
      </w:r>
      <w:r w:rsidRPr="00C90D89">
        <w:rPr>
          <w:rFonts w:ascii="Times New Roman" w:hAnsi="Times New Roman" w:cs="Times New Roman"/>
        </w:rPr>
        <w:t>preponderância de interesses</w:t>
      </w:r>
      <w:r w:rsidR="0091577D" w:rsidRPr="00C90D89">
        <w:rPr>
          <w:rFonts w:ascii="Times New Roman" w:hAnsi="Times New Roman" w:cs="Times New Roman"/>
        </w:rPr>
        <w:t>”. Esse critério, já reconhecido pelo Supremo Tribunal Federal</w:t>
      </w:r>
      <w:r w:rsidR="00465B10" w:rsidRPr="00C90D89">
        <w:rPr>
          <w:rStyle w:val="FootnoteReference"/>
          <w:rFonts w:ascii="Times New Roman" w:hAnsi="Times New Roman" w:cs="Times New Roman"/>
        </w:rPr>
        <w:footnoteReference w:id="14"/>
      </w:r>
      <w:r w:rsidR="0091577D" w:rsidRPr="00C90D89">
        <w:rPr>
          <w:rFonts w:ascii="Times New Roman" w:hAnsi="Times New Roman" w:cs="Times New Roman"/>
        </w:rPr>
        <w:t xml:space="preserve">, </w:t>
      </w:r>
      <w:r w:rsidR="005E4E30" w:rsidRPr="00C90D89">
        <w:rPr>
          <w:rFonts w:ascii="Times New Roman" w:hAnsi="Times New Roman" w:cs="Times New Roman"/>
        </w:rPr>
        <w:t xml:space="preserve">alude às hipóteses de competência comum, e considera que, </w:t>
      </w:r>
      <w:r w:rsidR="003D4711">
        <w:rPr>
          <w:rFonts w:ascii="Times New Roman" w:hAnsi="Times New Roman" w:cs="Times New Roman"/>
        </w:rPr>
        <w:t>frente</w:t>
      </w:r>
      <w:r w:rsidR="005E4E30" w:rsidRPr="00C90D89">
        <w:rPr>
          <w:rFonts w:ascii="Times New Roman" w:hAnsi="Times New Roman" w:cs="Times New Roman"/>
        </w:rPr>
        <w:t xml:space="preserve"> a competências comuns, deve-se definir por aquelas que são mais abrangentes. Em lógica semelhante </w:t>
      </w:r>
      <w:r w:rsidR="00A01038" w:rsidRPr="00C90D89">
        <w:rPr>
          <w:rFonts w:ascii="Times New Roman" w:hAnsi="Times New Roman" w:cs="Times New Roman"/>
        </w:rPr>
        <w:t>a</w:t>
      </w:r>
      <w:r w:rsidR="005E4E30" w:rsidRPr="00C90D89">
        <w:rPr>
          <w:rFonts w:ascii="Times New Roman" w:hAnsi="Times New Roman" w:cs="Times New Roman"/>
        </w:rPr>
        <w:t xml:space="preserve"> da especialidade</w:t>
      </w:r>
      <w:r w:rsidR="002E2A66" w:rsidRPr="00C90D89">
        <w:rPr>
          <w:rFonts w:ascii="Times New Roman" w:hAnsi="Times New Roman" w:cs="Times New Roman"/>
        </w:rPr>
        <w:t xml:space="preserve"> – acaso se entendesse por haver uma competência comum entre União e Municípios sobre </w:t>
      </w:r>
      <w:r w:rsidR="003D4711">
        <w:rPr>
          <w:rFonts w:ascii="Times New Roman" w:hAnsi="Times New Roman" w:cs="Times New Roman"/>
        </w:rPr>
        <w:t xml:space="preserve">os serviços de </w:t>
      </w:r>
      <w:r w:rsidR="002E2A66" w:rsidRPr="00C90D89">
        <w:rPr>
          <w:rFonts w:ascii="Times New Roman" w:hAnsi="Times New Roman" w:cs="Times New Roman"/>
        </w:rPr>
        <w:t xml:space="preserve">energia elétrica (o que se admite apenas </w:t>
      </w:r>
      <w:r w:rsidR="002E2A66" w:rsidRPr="00C90D89">
        <w:rPr>
          <w:rFonts w:ascii="Times New Roman" w:hAnsi="Times New Roman" w:cs="Times New Roman"/>
          <w:i/>
        </w:rPr>
        <w:t xml:space="preserve">ad </w:t>
      </w:r>
      <w:proofErr w:type="spellStart"/>
      <w:r w:rsidR="002E2A66" w:rsidRPr="00C90D89">
        <w:rPr>
          <w:rFonts w:ascii="Times New Roman" w:hAnsi="Times New Roman" w:cs="Times New Roman"/>
          <w:i/>
        </w:rPr>
        <w:t>argumentandum</w:t>
      </w:r>
      <w:proofErr w:type="spellEnd"/>
      <w:r w:rsidR="002E2A66" w:rsidRPr="00C90D89">
        <w:rPr>
          <w:rFonts w:ascii="Times New Roman" w:hAnsi="Times New Roman" w:cs="Times New Roman"/>
          <w:i/>
        </w:rPr>
        <w:t xml:space="preserve"> tantum</w:t>
      </w:r>
      <w:r w:rsidR="002E2A66" w:rsidRPr="00C90D89">
        <w:rPr>
          <w:rFonts w:ascii="Times New Roman" w:hAnsi="Times New Roman" w:cs="Times New Roman"/>
        </w:rPr>
        <w:t>)</w:t>
      </w:r>
      <w:r w:rsidR="00706E1D" w:rsidRPr="00C90D89">
        <w:rPr>
          <w:rFonts w:ascii="Times New Roman" w:hAnsi="Times New Roman" w:cs="Times New Roman"/>
        </w:rPr>
        <w:t xml:space="preserve"> –</w:t>
      </w:r>
      <w:r w:rsidR="005E4E30" w:rsidRPr="00C90D89">
        <w:rPr>
          <w:rFonts w:ascii="Times New Roman" w:hAnsi="Times New Roman" w:cs="Times New Roman"/>
        </w:rPr>
        <w:t>, percebe-se, por esse critério</w:t>
      </w:r>
      <w:r w:rsidR="00706E1D" w:rsidRPr="00C90D89">
        <w:rPr>
          <w:rFonts w:ascii="Times New Roman" w:hAnsi="Times New Roman" w:cs="Times New Roman"/>
        </w:rPr>
        <w:t>,</w:t>
      </w:r>
      <w:r w:rsidR="005E4E30" w:rsidRPr="00C90D89">
        <w:rPr>
          <w:rFonts w:ascii="Times New Roman" w:hAnsi="Times New Roman" w:cs="Times New Roman"/>
        </w:rPr>
        <w:t xml:space="preserve"> que </w:t>
      </w:r>
      <w:r w:rsidR="003D4711">
        <w:rPr>
          <w:rFonts w:ascii="Times New Roman" w:hAnsi="Times New Roman" w:cs="Times New Roman"/>
        </w:rPr>
        <w:t xml:space="preserve">tais </w:t>
      </w:r>
      <w:r w:rsidR="005E4E30" w:rsidRPr="00C90D89">
        <w:rPr>
          <w:rFonts w:ascii="Times New Roman" w:hAnsi="Times New Roman" w:cs="Times New Roman"/>
        </w:rPr>
        <w:t>serviços são de competência da União, por estar</w:t>
      </w:r>
      <w:r w:rsidR="003D4711">
        <w:rPr>
          <w:rFonts w:ascii="Times New Roman" w:hAnsi="Times New Roman" w:cs="Times New Roman"/>
        </w:rPr>
        <w:t xml:space="preserve"> sua responsabilidade neste ente federado </w:t>
      </w:r>
      <w:proofErr w:type="spellStart"/>
      <w:r w:rsidR="005E4E30" w:rsidRPr="00C90D89">
        <w:rPr>
          <w:rFonts w:ascii="Times New Roman" w:hAnsi="Times New Roman" w:cs="Times New Roman"/>
        </w:rPr>
        <w:t>abrangentemente</w:t>
      </w:r>
      <w:proofErr w:type="spellEnd"/>
      <w:r w:rsidR="005E4E30" w:rsidRPr="00C90D89">
        <w:rPr>
          <w:rFonts w:ascii="Times New Roman" w:hAnsi="Times New Roman" w:cs="Times New Roman"/>
        </w:rPr>
        <w:t xml:space="preserve"> construíd</w:t>
      </w:r>
      <w:r w:rsidR="003D4711">
        <w:rPr>
          <w:rFonts w:ascii="Times New Roman" w:hAnsi="Times New Roman" w:cs="Times New Roman"/>
        </w:rPr>
        <w:t>a</w:t>
      </w:r>
      <w:r w:rsidR="005E4E30" w:rsidRPr="00C90D89">
        <w:rPr>
          <w:rFonts w:ascii="Times New Roman" w:hAnsi="Times New Roman" w:cs="Times New Roman"/>
        </w:rPr>
        <w:t xml:space="preserve">. </w:t>
      </w:r>
    </w:p>
    <w:p w14:paraId="563786B7" w14:textId="77777777" w:rsidR="0059278E" w:rsidRPr="00C90D89" w:rsidRDefault="0059278E" w:rsidP="005927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6F51F3B" w14:textId="43DF93A4" w:rsidR="0059278E" w:rsidRPr="00C90D89" w:rsidRDefault="0059278E" w:rsidP="00B427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Sobre esse suposto conflito entre a competência explícita da União e o “interesse local</w:t>
      </w:r>
      <w:r w:rsidR="00706E1D" w:rsidRPr="00C90D89">
        <w:rPr>
          <w:rFonts w:ascii="Times New Roman" w:hAnsi="Times New Roman" w:cs="Times New Roman"/>
        </w:rPr>
        <w:t>”</w:t>
      </w:r>
      <w:r w:rsidRPr="00C90D89">
        <w:rPr>
          <w:rFonts w:ascii="Times New Roman" w:hAnsi="Times New Roman" w:cs="Times New Roman"/>
        </w:rPr>
        <w:t xml:space="preserve"> do Município, roga-se vênia, mais uma vez, para citar o parecer </w:t>
      </w:r>
      <w:r w:rsidR="008E602E">
        <w:rPr>
          <w:rFonts w:ascii="Times New Roman" w:hAnsi="Times New Roman" w:cs="Times New Roman"/>
        </w:rPr>
        <w:t>contratado</w:t>
      </w:r>
      <w:r w:rsidRPr="00C90D89">
        <w:rPr>
          <w:rFonts w:ascii="Times New Roman" w:hAnsi="Times New Roman" w:cs="Times New Roman"/>
        </w:rPr>
        <w:t xml:space="preserve"> pela Confederação Nacional dos Municípios (doc. </w:t>
      </w:r>
      <w:r w:rsidRPr="00C90D89">
        <w:rPr>
          <w:rFonts w:ascii="Times New Roman" w:hAnsi="Times New Roman" w:cs="Times New Roman"/>
          <w:color w:val="FF0000"/>
        </w:rPr>
        <w:t>XX</w:t>
      </w:r>
      <w:r w:rsidRPr="00C90D89">
        <w:rPr>
          <w:rFonts w:ascii="Times New Roman" w:hAnsi="Times New Roman" w:cs="Times New Roman"/>
        </w:rPr>
        <w:t>):</w:t>
      </w:r>
    </w:p>
    <w:p w14:paraId="6962232E" w14:textId="77777777" w:rsidR="0059278E" w:rsidRPr="00C90D89" w:rsidRDefault="0059278E" w:rsidP="00B427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ED35783" w14:textId="1A9F3933" w:rsidR="00D110BE" w:rsidRPr="00C90D89" w:rsidRDefault="00BE4F5D" w:rsidP="0059278E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Esse entendimento </w:t>
      </w:r>
      <w:r w:rsidR="006E46CD" w:rsidRPr="00C90D89">
        <w:rPr>
          <w:rFonts w:ascii="Times New Roman" w:hAnsi="Times New Roman" w:cs="Times New Roman"/>
          <w:sz w:val="22"/>
          <w:szCs w:val="22"/>
        </w:rPr>
        <w:t>pode</w:t>
      </w:r>
      <w:r w:rsidRPr="00C90D89">
        <w:rPr>
          <w:rFonts w:ascii="Times New Roman" w:hAnsi="Times New Roman" w:cs="Times New Roman"/>
          <w:sz w:val="22"/>
          <w:szCs w:val="22"/>
        </w:rPr>
        <w:t>-se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dessumir, </w:t>
      </w:r>
      <w:r w:rsidR="00184265" w:rsidRPr="00C90D89">
        <w:rPr>
          <w:rFonts w:ascii="Times New Roman" w:hAnsi="Times New Roman" w:cs="Times New Roman"/>
          <w:sz w:val="22"/>
          <w:szCs w:val="22"/>
        </w:rPr>
        <w:t>aliás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, da própria malfadada lógica centrípeta de nossa federação, que concentra </w:t>
      </w:r>
      <w:r w:rsidR="00184265" w:rsidRPr="00C90D89">
        <w:rPr>
          <w:rFonts w:ascii="Times New Roman" w:hAnsi="Times New Roman" w:cs="Times New Roman"/>
          <w:sz w:val="22"/>
          <w:szCs w:val="22"/>
        </w:rPr>
        <w:t>n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a União maiores poderes e, apenas supletivamente, 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concede-os 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aos demais entes federados. Não há como se </w:t>
      </w:r>
      <w:r w:rsidR="00184265" w:rsidRPr="00C90D89">
        <w:rPr>
          <w:rFonts w:ascii="Times New Roman" w:hAnsi="Times New Roman" w:cs="Times New Roman"/>
          <w:sz w:val="22"/>
          <w:szCs w:val="22"/>
        </w:rPr>
        <w:t>defender</w:t>
      </w:r>
      <w:r w:rsidR="006E46CD" w:rsidRPr="00C90D89">
        <w:rPr>
          <w:rFonts w:ascii="Times New Roman" w:hAnsi="Times New Roman" w:cs="Times New Roman"/>
          <w:sz w:val="22"/>
          <w:szCs w:val="22"/>
        </w:rPr>
        <w:t>, portanto, desde essa lógica centrípeta – com seus contornos expostos na</w:t>
      </w:r>
      <w:r w:rsidR="00184265" w:rsidRPr="00C90D89">
        <w:rPr>
          <w:rFonts w:ascii="Times New Roman" w:hAnsi="Times New Roman" w:cs="Times New Roman"/>
          <w:sz w:val="22"/>
          <w:szCs w:val="22"/>
        </w:rPr>
        <w:t>s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decis</w:t>
      </w:r>
      <w:r w:rsidR="00184265" w:rsidRPr="00C90D89">
        <w:rPr>
          <w:rFonts w:ascii="Times New Roman" w:hAnsi="Times New Roman" w:cs="Times New Roman"/>
          <w:sz w:val="22"/>
          <w:szCs w:val="22"/>
        </w:rPr>
        <w:t>ões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da Suprema 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Corte </w:t>
      </w:r>
      <w:r w:rsidR="006E46CD" w:rsidRPr="00C90D89">
        <w:rPr>
          <w:rFonts w:ascii="Times New Roman" w:hAnsi="Times New Roman" w:cs="Times New Roman"/>
          <w:sz w:val="22"/>
          <w:szCs w:val="22"/>
        </w:rPr>
        <w:t>–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 um “</w:t>
      </w:r>
      <w:r w:rsidR="006E46CD" w:rsidRPr="00C90D89">
        <w:rPr>
          <w:rFonts w:ascii="Times New Roman" w:hAnsi="Times New Roman" w:cs="Times New Roman"/>
          <w:sz w:val="22"/>
          <w:szCs w:val="22"/>
        </w:rPr>
        <w:t>interesse local</w:t>
      </w:r>
      <w:r w:rsidR="00184265" w:rsidRPr="00C90D89">
        <w:rPr>
          <w:rFonts w:ascii="Times New Roman" w:hAnsi="Times New Roman" w:cs="Times New Roman"/>
          <w:sz w:val="22"/>
          <w:szCs w:val="22"/>
        </w:rPr>
        <w:t>”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contra matéria reservada à 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legislação e 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administração </w:t>
      </w:r>
      <w:r w:rsidR="00184265" w:rsidRPr="00C90D89">
        <w:rPr>
          <w:rFonts w:ascii="Times New Roman" w:hAnsi="Times New Roman" w:cs="Times New Roman"/>
          <w:sz w:val="22"/>
          <w:szCs w:val="22"/>
        </w:rPr>
        <w:t>da União F</w:t>
      </w:r>
      <w:r w:rsidR="006E46CD" w:rsidRPr="00C90D89">
        <w:rPr>
          <w:rFonts w:ascii="Times New Roman" w:hAnsi="Times New Roman" w:cs="Times New Roman"/>
          <w:sz w:val="22"/>
          <w:szCs w:val="22"/>
        </w:rPr>
        <w:t>ederal.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 Assim se pode dizer</w:t>
      </w:r>
      <w:r w:rsidR="00B427DE" w:rsidRPr="00C90D89">
        <w:rPr>
          <w:rFonts w:ascii="Times New Roman" w:hAnsi="Times New Roman" w:cs="Times New Roman"/>
          <w:sz w:val="22"/>
          <w:szCs w:val="22"/>
        </w:rPr>
        <w:t xml:space="preserve"> no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exemplo, </w:t>
      </w:r>
      <w:r w:rsidR="00B427DE" w:rsidRPr="00C90D89">
        <w:rPr>
          <w:rFonts w:ascii="Times New Roman" w:hAnsi="Times New Roman" w:cs="Times New Roman"/>
          <w:sz w:val="22"/>
          <w:szCs w:val="22"/>
        </w:rPr>
        <w:t xml:space="preserve">já citado,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do serviço de telefonia. </w:t>
      </w:r>
      <w:r w:rsidR="00C74FA4" w:rsidRPr="00C90D89">
        <w:rPr>
          <w:rFonts w:ascii="Times New Roman" w:hAnsi="Times New Roman" w:cs="Times New Roman"/>
          <w:sz w:val="22"/>
          <w:szCs w:val="22"/>
        </w:rPr>
        <w:t>Conquanto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 haja algum interesse local na matéria, a competência da União impede que o Município a invada.</w:t>
      </w:r>
      <w:r w:rsidR="00B427DE" w:rsidRPr="00C90D89">
        <w:rPr>
          <w:rFonts w:ascii="Times New Roman" w:hAnsi="Times New Roman" w:cs="Times New Roman"/>
          <w:sz w:val="22"/>
          <w:szCs w:val="22"/>
        </w:rPr>
        <w:t xml:space="preserve">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O fato de um prédio de uma Prefeitura Municipal ser de interesse local, por exemplo, não leva a crer que o </w:t>
      </w:r>
      <w:r w:rsidR="00C74FA4" w:rsidRPr="00C90D89">
        <w:rPr>
          <w:rFonts w:ascii="Times New Roman" w:hAnsi="Times New Roman" w:cs="Times New Roman"/>
          <w:sz w:val="22"/>
          <w:szCs w:val="22"/>
        </w:rPr>
        <w:t>m</w:t>
      </w:r>
      <w:r w:rsidR="00D110BE" w:rsidRPr="00C90D89">
        <w:rPr>
          <w:rFonts w:ascii="Times New Roman" w:hAnsi="Times New Roman" w:cs="Times New Roman"/>
          <w:sz w:val="22"/>
          <w:szCs w:val="22"/>
        </w:rPr>
        <w:t>unicípio dev</w:t>
      </w:r>
      <w:r w:rsidR="00B427DE" w:rsidRPr="00C90D89">
        <w:rPr>
          <w:rFonts w:ascii="Times New Roman" w:hAnsi="Times New Roman" w:cs="Times New Roman"/>
          <w:sz w:val="22"/>
          <w:szCs w:val="22"/>
        </w:rPr>
        <w:t>a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 prover a energia desse prédio, assim como seria descabido que os </w:t>
      </w:r>
      <w:r w:rsidR="00C74FA4" w:rsidRPr="00C90D89">
        <w:rPr>
          <w:rFonts w:ascii="Times New Roman" w:hAnsi="Times New Roman" w:cs="Times New Roman"/>
          <w:sz w:val="22"/>
          <w:szCs w:val="22"/>
        </w:rPr>
        <w:t>m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unicípios devessem realizar os projetos de utilização da rede telefônica quando se tratasse de ligações na circunscrição municipal ou </w:t>
      </w:r>
      <w:r w:rsidR="00C74FA4" w:rsidRPr="00C90D89">
        <w:rPr>
          <w:rFonts w:ascii="Times New Roman" w:hAnsi="Times New Roman" w:cs="Times New Roman"/>
          <w:sz w:val="22"/>
          <w:szCs w:val="22"/>
        </w:rPr>
        <w:t xml:space="preserve">de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ligações dos </w:t>
      </w:r>
      <w:r w:rsidR="00C74FA4" w:rsidRPr="00C90D89">
        <w:rPr>
          <w:rFonts w:ascii="Times New Roman" w:hAnsi="Times New Roman" w:cs="Times New Roman"/>
          <w:sz w:val="22"/>
          <w:szCs w:val="22"/>
        </w:rPr>
        <w:t xml:space="preserve">seus </w:t>
      </w:r>
      <w:r w:rsidR="00D110BE" w:rsidRPr="00C90D89">
        <w:rPr>
          <w:rFonts w:ascii="Times New Roman" w:hAnsi="Times New Roman" w:cs="Times New Roman"/>
          <w:sz w:val="22"/>
          <w:szCs w:val="22"/>
        </w:rPr>
        <w:t>prédios próprios.</w:t>
      </w:r>
    </w:p>
    <w:p w14:paraId="53A1D7EA" w14:textId="51E05290" w:rsidR="00545946" w:rsidRPr="00C90D89" w:rsidRDefault="00673D20" w:rsidP="0059278E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Giza-se que o art. 21</w:t>
      </w:r>
      <w:r w:rsidR="009E7CD8" w:rsidRPr="00C90D89">
        <w:rPr>
          <w:rFonts w:ascii="Times New Roman" w:hAnsi="Times New Roman" w:cs="Times New Roman"/>
          <w:sz w:val="22"/>
          <w:szCs w:val="22"/>
        </w:rPr>
        <w:t>, XII, “b”,</w:t>
      </w:r>
      <w:r w:rsidRPr="00C90D89">
        <w:rPr>
          <w:rFonts w:ascii="Times New Roman" w:hAnsi="Times New Roman" w:cs="Times New Roman"/>
          <w:sz w:val="22"/>
          <w:szCs w:val="22"/>
        </w:rPr>
        <w:t xml:space="preserve"> não fala apenas em 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exploração do </w:t>
      </w:r>
      <w:r w:rsidRPr="00C90D89">
        <w:rPr>
          <w:rFonts w:ascii="Times New Roman" w:hAnsi="Times New Roman" w:cs="Times New Roman"/>
          <w:sz w:val="22"/>
          <w:szCs w:val="22"/>
        </w:rPr>
        <w:t>“serviço”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 de energia elétrica</w:t>
      </w:r>
      <w:r w:rsidRPr="00C90D89">
        <w:rPr>
          <w:rFonts w:ascii="Times New Roman" w:hAnsi="Times New Roman" w:cs="Times New Roman"/>
          <w:sz w:val="22"/>
          <w:szCs w:val="22"/>
        </w:rPr>
        <w:t xml:space="preserve">, mas 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também na exploração das </w:t>
      </w:r>
      <w:r w:rsidRPr="00C90D89">
        <w:rPr>
          <w:rFonts w:ascii="Times New Roman" w:hAnsi="Times New Roman" w:cs="Times New Roman"/>
          <w:sz w:val="22"/>
          <w:szCs w:val="22"/>
        </w:rPr>
        <w:t>“instalações”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 de energia elétrica</w:t>
      </w:r>
      <w:r w:rsidRPr="00C90D89">
        <w:rPr>
          <w:rFonts w:ascii="Times New Roman" w:hAnsi="Times New Roman" w:cs="Times New Roman"/>
          <w:sz w:val="22"/>
          <w:szCs w:val="22"/>
        </w:rPr>
        <w:t>. Não há, nesse ou em qualquer mundo com os mesmos signos linguísticos, como entender que os “ativos de iluminação pública” não façam parte d</w:t>
      </w:r>
      <w:r w:rsidR="009E7CD8" w:rsidRPr="00C90D89">
        <w:rPr>
          <w:rFonts w:ascii="Times New Roman" w:hAnsi="Times New Roman" w:cs="Times New Roman"/>
          <w:sz w:val="22"/>
          <w:szCs w:val="22"/>
        </w:rPr>
        <w:t>essas</w:t>
      </w:r>
      <w:r w:rsidRPr="00C90D89">
        <w:rPr>
          <w:rFonts w:ascii="Times New Roman" w:hAnsi="Times New Roman" w:cs="Times New Roman"/>
          <w:sz w:val="22"/>
          <w:szCs w:val="22"/>
        </w:rPr>
        <w:t xml:space="preserve"> “instalações”</w:t>
      </w:r>
      <w:r w:rsidR="009E7CD8" w:rsidRPr="00C90D89">
        <w:rPr>
          <w:rFonts w:ascii="Times New Roman" w:hAnsi="Times New Roman" w:cs="Times New Roman"/>
          <w:sz w:val="22"/>
          <w:szCs w:val="22"/>
        </w:rPr>
        <w:t>, não se podendo discriminar, portanto, para fim de avocação de competência aos municípios, o fornecimento da energia e o fornecimento da energia para iluminação pública</w:t>
      </w:r>
      <w:r w:rsidRPr="00C90D89">
        <w:rPr>
          <w:rFonts w:ascii="Times New Roman" w:hAnsi="Times New Roman" w:cs="Times New Roman"/>
          <w:sz w:val="22"/>
          <w:szCs w:val="22"/>
        </w:rPr>
        <w:t>. A competência administrativa a eles relacionada</w:t>
      </w:r>
      <w:r w:rsidR="009E7CD8" w:rsidRPr="00C90D89">
        <w:rPr>
          <w:rFonts w:ascii="Times New Roman" w:hAnsi="Times New Roman" w:cs="Times New Roman"/>
          <w:sz w:val="22"/>
          <w:szCs w:val="22"/>
        </w:rPr>
        <w:t>s</w:t>
      </w:r>
      <w:r w:rsidRPr="00C90D89">
        <w:rPr>
          <w:rFonts w:ascii="Times New Roman" w:hAnsi="Times New Roman" w:cs="Times New Roman"/>
          <w:sz w:val="22"/>
          <w:szCs w:val="22"/>
        </w:rPr>
        <w:t xml:space="preserve"> é, </w:t>
      </w:r>
      <w:proofErr w:type="spellStart"/>
      <w:r w:rsidR="00983E02" w:rsidRPr="00C90D89">
        <w:rPr>
          <w:rFonts w:ascii="Times New Roman" w:hAnsi="Times New Roman" w:cs="Times New Roman"/>
          <w:sz w:val="22"/>
          <w:szCs w:val="22"/>
        </w:rPr>
        <w:t>dessarte</w:t>
      </w:r>
      <w:proofErr w:type="spellEnd"/>
      <w:r w:rsidRPr="00C90D89">
        <w:rPr>
          <w:rFonts w:ascii="Times New Roman" w:hAnsi="Times New Roman" w:cs="Times New Roman"/>
          <w:sz w:val="22"/>
          <w:szCs w:val="22"/>
        </w:rPr>
        <w:t>, federal, n</w:t>
      </w:r>
      <w:r w:rsidR="009E7CD8" w:rsidRPr="00C90D89">
        <w:rPr>
          <w:rFonts w:ascii="Times New Roman" w:hAnsi="Times New Roman" w:cs="Times New Roman"/>
          <w:sz w:val="22"/>
          <w:szCs w:val="22"/>
        </w:rPr>
        <w:t>unca</w:t>
      </w:r>
      <w:r w:rsidRPr="00C90D89">
        <w:rPr>
          <w:rFonts w:ascii="Times New Roman" w:hAnsi="Times New Roman" w:cs="Times New Roman"/>
          <w:sz w:val="22"/>
          <w:szCs w:val="22"/>
        </w:rPr>
        <w:t xml:space="preserve"> municipal. 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DAE363" w14:textId="28F1868E" w:rsidR="00B63A7B" w:rsidRPr="00C90D89" w:rsidRDefault="006E46CD" w:rsidP="0059278E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No fundo, a questão se resolve</w:t>
      </w:r>
      <w:r w:rsidR="00C53981" w:rsidRPr="00C90D89">
        <w:rPr>
          <w:rFonts w:ascii="Times New Roman" w:hAnsi="Times New Roman" w:cs="Times New Roman"/>
          <w:sz w:val="22"/>
          <w:szCs w:val="22"/>
        </w:rPr>
        <w:t xml:space="preserve">, </w:t>
      </w:r>
      <w:r w:rsidR="00983E02" w:rsidRPr="00C90D89">
        <w:rPr>
          <w:rFonts w:ascii="Times New Roman" w:hAnsi="Times New Roman" w:cs="Times New Roman"/>
          <w:sz w:val="22"/>
          <w:szCs w:val="22"/>
        </w:rPr>
        <w:t xml:space="preserve">muito </w:t>
      </w:r>
      <w:r w:rsidR="00C53981" w:rsidRPr="00C90D89">
        <w:rPr>
          <w:rFonts w:ascii="Times New Roman" w:hAnsi="Times New Roman" w:cs="Times New Roman"/>
          <w:sz w:val="22"/>
          <w:szCs w:val="22"/>
        </w:rPr>
        <w:t>mais facilmente,</w:t>
      </w:r>
      <w:r w:rsidRPr="00C90D89">
        <w:rPr>
          <w:rFonts w:ascii="Times New Roman" w:hAnsi="Times New Roman" w:cs="Times New Roman"/>
          <w:sz w:val="22"/>
          <w:szCs w:val="22"/>
        </w:rPr>
        <w:t xml:space="preserve"> com outra pergunta</w:t>
      </w:r>
      <w:r w:rsidR="009E7CD8" w:rsidRPr="00C90D89">
        <w:rPr>
          <w:rFonts w:ascii="Times New Roman" w:hAnsi="Times New Roman" w:cs="Times New Roman"/>
          <w:sz w:val="22"/>
          <w:szCs w:val="22"/>
        </w:rPr>
        <w:t>, qual seja</w:t>
      </w:r>
      <w:r w:rsidRPr="00C90D89">
        <w:rPr>
          <w:rFonts w:ascii="Times New Roman" w:hAnsi="Times New Roman" w:cs="Times New Roman"/>
          <w:sz w:val="22"/>
          <w:szCs w:val="22"/>
        </w:rPr>
        <w:t>: a iluminação pública é ou não parte integrante dos “serviços e instalações de energia elétrica”? Com essa pergunta, vê-se que a resposta, à toda evidência positiva, não admite a conclusão de que a iluminação pública esteja no rol de competências municipais, ainda que haja – também – um “interesse local” a ela relacionado.</w:t>
      </w:r>
    </w:p>
    <w:p w14:paraId="74EC8AC0" w14:textId="77777777" w:rsidR="0059278E" w:rsidRPr="00C90D89" w:rsidRDefault="0059278E" w:rsidP="00A87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0B1FBBC" w14:textId="07E907E1" w:rsidR="001E76A5" w:rsidRPr="00C90D89" w:rsidRDefault="00632152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Mostra-se patente, portanto, que a competência legislativa e administrativa relacionada aos serviços e instalações de iluminação pública é constitucionalmente da União, o que impossibilita sua </w:t>
      </w:r>
      <w:r w:rsidR="00CB3901">
        <w:rPr>
          <w:rFonts w:ascii="Times New Roman" w:hAnsi="Times New Roman" w:cs="Times New Roman"/>
        </w:rPr>
        <w:t>“dação”</w:t>
      </w:r>
      <w:r w:rsidRPr="00C90D89">
        <w:rPr>
          <w:rFonts w:ascii="Times New Roman" w:hAnsi="Times New Roman" w:cs="Times New Roman"/>
        </w:rPr>
        <w:t xml:space="preserve">, em texto </w:t>
      </w:r>
      <w:proofErr w:type="spellStart"/>
      <w:r w:rsidRPr="00C90D89">
        <w:rPr>
          <w:rFonts w:ascii="Times New Roman" w:hAnsi="Times New Roman" w:cs="Times New Roman"/>
        </w:rPr>
        <w:t>infralegal</w:t>
      </w:r>
      <w:proofErr w:type="spellEnd"/>
      <w:r w:rsidRPr="00C90D89">
        <w:rPr>
          <w:rFonts w:ascii="Times New Roman" w:hAnsi="Times New Roman" w:cs="Times New Roman"/>
        </w:rPr>
        <w:t xml:space="preserve">, ao Município autor. Também por esse motivo, </w:t>
      </w:r>
      <w:r w:rsidR="00706E1D" w:rsidRPr="00C90D89">
        <w:rPr>
          <w:rFonts w:ascii="Times New Roman" w:hAnsi="Times New Roman" w:cs="Times New Roman"/>
        </w:rPr>
        <w:t>proclama</w:t>
      </w:r>
      <w:r w:rsidRPr="00C90D89">
        <w:rPr>
          <w:rFonts w:ascii="Times New Roman" w:hAnsi="Times New Roman" w:cs="Times New Roman"/>
        </w:rPr>
        <w:t xml:space="preserve">-se urgente a </w:t>
      </w:r>
      <w:r w:rsidR="00706E1D" w:rsidRPr="00C90D89">
        <w:rPr>
          <w:rFonts w:ascii="Times New Roman" w:hAnsi="Times New Roman" w:cs="Times New Roman"/>
        </w:rPr>
        <w:t>invalidação</w:t>
      </w:r>
      <w:r w:rsidRPr="00C90D89">
        <w:rPr>
          <w:rFonts w:ascii="Times New Roman" w:hAnsi="Times New Roman" w:cs="Times New Roman"/>
        </w:rPr>
        <w:t xml:space="preserve"> da Resolução Normativa n. 414/2010 da ANEEL</w:t>
      </w:r>
      <w:r w:rsidR="00706E1D"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a fim de que, declarada incidentalmente sua </w:t>
      </w:r>
      <w:r w:rsidR="00706E1D" w:rsidRPr="00C90D89">
        <w:rPr>
          <w:rFonts w:ascii="Times New Roman" w:hAnsi="Times New Roman" w:cs="Times New Roman"/>
        </w:rPr>
        <w:t xml:space="preserve">inconstitucionalidade, </w:t>
      </w:r>
      <w:r w:rsidRPr="00C90D89">
        <w:rPr>
          <w:rFonts w:ascii="Times New Roman" w:hAnsi="Times New Roman" w:cs="Times New Roman"/>
        </w:rPr>
        <w:t>possam ser subtraídos seus efeitos do mundo jurídico</w:t>
      </w:r>
      <w:r w:rsidR="00A05F63" w:rsidRPr="00C90D89">
        <w:rPr>
          <w:rFonts w:ascii="Times New Roman" w:hAnsi="Times New Roman" w:cs="Times New Roman"/>
        </w:rPr>
        <w:t>, desobrigando o autor da realização da transferência de ativos</w:t>
      </w:r>
      <w:r w:rsidRPr="00C90D89">
        <w:rPr>
          <w:rFonts w:ascii="Times New Roman" w:hAnsi="Times New Roman" w:cs="Times New Roman"/>
        </w:rPr>
        <w:t>.</w:t>
      </w:r>
    </w:p>
    <w:p w14:paraId="2D8AED24" w14:textId="77777777" w:rsidR="00706E1D" w:rsidRPr="00C90D89" w:rsidRDefault="00706E1D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CE65BEF" w14:textId="3F32749E" w:rsidR="002114F8" w:rsidRPr="00C90D89" w:rsidRDefault="000A7D62" w:rsidP="00EA5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C90D89">
        <w:rPr>
          <w:rFonts w:ascii="Times New Roman" w:hAnsi="Times New Roman" w:cs="Times New Roman"/>
          <w:bCs/>
          <w:i/>
        </w:rPr>
        <w:t xml:space="preserve">2.1.4. Quarta razão de invalidade </w:t>
      </w:r>
      <w:r w:rsidR="00525AE4" w:rsidRPr="00C90D89">
        <w:rPr>
          <w:rFonts w:ascii="Times New Roman" w:hAnsi="Times New Roman" w:cs="Times New Roman"/>
          <w:bCs/>
          <w:i/>
        </w:rPr>
        <w:t>da 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bCs/>
          <w:i/>
        </w:rPr>
        <w:t xml:space="preserve">inconstitucionalidade pela afronta </w:t>
      </w:r>
      <w:r w:rsidRPr="00C90D89">
        <w:rPr>
          <w:rFonts w:ascii="Times New Roman" w:hAnsi="Times New Roman" w:cs="Times New Roman"/>
          <w:i/>
        </w:rPr>
        <w:t xml:space="preserve">ao princípio da subsidiariedade (transformação de exceção constitucional em regra) </w:t>
      </w:r>
    </w:p>
    <w:p w14:paraId="41EBDE7C" w14:textId="77777777" w:rsidR="000A7D62" w:rsidRPr="00C90D89" w:rsidRDefault="000A7D62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0C5A775" w14:textId="475287B1" w:rsidR="00A05F63" w:rsidRPr="00C90D89" w:rsidRDefault="00A05F63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Ao se tratar da estrutura constitucional sobre a energia elétrica – e sobre a iluminação pública, em particular –, uma observação deve ser </w:t>
      </w:r>
      <w:r w:rsidR="00CB3901">
        <w:rPr>
          <w:rFonts w:ascii="Times New Roman" w:hAnsi="Times New Roman" w:cs="Times New Roman"/>
        </w:rPr>
        <w:t>realizada</w:t>
      </w:r>
      <w:r w:rsidRPr="00C90D89">
        <w:rPr>
          <w:rFonts w:ascii="Times New Roman" w:hAnsi="Times New Roman" w:cs="Times New Roman"/>
        </w:rPr>
        <w:t>, no sentido de compreender o quadro atual de sua exploração: desde a Constituição de 1988, adotou-se o chamado princípio da subsidiariedade, o qual importa em reconhecer que a atuação do Estado no domínio econômico é, sempre, de caráter excepcional. Não obstante</w:t>
      </w:r>
      <w:r w:rsidR="00CB3901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>a energia elétrica ser um patrimônio público federal, a ser administrado pela União</w:t>
      </w:r>
      <w:r w:rsidR="00CB3901">
        <w:rPr>
          <w:rFonts w:ascii="Times New Roman" w:hAnsi="Times New Roman" w:cs="Times New Roman"/>
        </w:rPr>
        <w:t xml:space="preserve"> (itens 2.1.2 e 2.1.3 desta petição)</w:t>
      </w:r>
      <w:r w:rsidRPr="00C90D89">
        <w:rPr>
          <w:rFonts w:ascii="Times New Roman" w:hAnsi="Times New Roman" w:cs="Times New Roman"/>
        </w:rPr>
        <w:t>, essa administração deve ser realizada, preferencialmente, em regime de exploração indireta da atividade.</w:t>
      </w:r>
    </w:p>
    <w:p w14:paraId="09896AF1" w14:textId="77777777" w:rsidR="00A05F63" w:rsidRPr="00C90D89" w:rsidRDefault="00A05F63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EF9BA47" w14:textId="07F00367" w:rsidR="00CC18DE" w:rsidRPr="00C90D89" w:rsidRDefault="00CC18DE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consagração </w:t>
      </w:r>
      <w:r w:rsidR="005D35D7">
        <w:rPr>
          <w:rFonts w:ascii="Times New Roman" w:hAnsi="Times New Roman" w:cs="Times New Roman"/>
        </w:rPr>
        <w:t>do</w:t>
      </w:r>
      <w:r w:rsidRPr="00C90D89">
        <w:rPr>
          <w:rFonts w:ascii="Times New Roman" w:hAnsi="Times New Roman" w:cs="Times New Roman"/>
        </w:rPr>
        <w:t xml:space="preserve"> princípio</w:t>
      </w:r>
      <w:r w:rsidR="005D35D7">
        <w:rPr>
          <w:rFonts w:ascii="Times New Roman" w:hAnsi="Times New Roman" w:cs="Times New Roman"/>
        </w:rPr>
        <w:t xml:space="preserve"> da subsidiariedade</w:t>
      </w:r>
      <w:r w:rsidRPr="00C90D89">
        <w:rPr>
          <w:rFonts w:ascii="Times New Roman" w:hAnsi="Times New Roman" w:cs="Times New Roman"/>
        </w:rPr>
        <w:t xml:space="preserve"> é obtida</w:t>
      </w:r>
      <w:r w:rsidR="005D35D7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 xml:space="preserve">da leitura conjugada de três dispositivos constantes dos “princípios gerais da atividade econômica”, no Título VII, Capítulo I, de nossa Constituição, a saber: </w:t>
      </w:r>
    </w:p>
    <w:p w14:paraId="046565B6" w14:textId="77777777" w:rsidR="00CC18DE" w:rsidRPr="00C90D89" w:rsidRDefault="00CC18DE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43E8690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173. Ressalvados os casos previstos nesta Constituição, a exploração direta de atividade econômica pelo Estado só será permitida quando necessária aos imperativos da segurança nacional ou a relevante interesse coletivo, conforme definidos em lei.</w:t>
      </w:r>
    </w:p>
    <w:p w14:paraId="3DBCF830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14:paraId="158A13EB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174. Como agente normativo e regulador da atividade econômica, o Estado exercerá, na forma da lei, as funções de fiscalização, incentivo e planejamento, sendo este determinante para o setor público e indicativo para o setor privado.</w:t>
      </w:r>
    </w:p>
    <w:p w14:paraId="6D2AE6F9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14:paraId="40FBB502" w14:textId="21EBDF09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175. Incumbe ao Poder Público, na forma da lei, diretamente ou sob regime de concessão ou permissão, sempre através de licitação, a prestação de serviços públicos.</w:t>
      </w:r>
    </w:p>
    <w:p w14:paraId="3F7F3335" w14:textId="74DD1451" w:rsidR="00CC18DE" w:rsidRPr="00C90D89" w:rsidRDefault="00CC18DE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741CD35" w14:textId="74EE691F" w:rsidR="000E319E" w:rsidRPr="00C90D89" w:rsidRDefault="000E319E" w:rsidP="00875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 leitura desses dispositivos em conjunto dá conta de que, não obstante a prestação de serviços públicos possa se dar</w:t>
      </w:r>
      <w:r w:rsidR="005D35D7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 xml:space="preserve">pelo Estado, diretamente ou por concessão, abre-se uma preferência para que esses serviços – enquanto atividades econômicas – sejam prestados </w:t>
      </w:r>
      <w:r w:rsidR="008720E2" w:rsidRPr="00C90D89">
        <w:rPr>
          <w:rFonts w:ascii="Times New Roman" w:hAnsi="Times New Roman" w:cs="Times New Roman"/>
        </w:rPr>
        <w:t>n</w:t>
      </w:r>
      <w:r w:rsidR="005D35D7">
        <w:rPr>
          <w:rFonts w:ascii="Times New Roman" w:hAnsi="Times New Roman" w:cs="Times New Roman"/>
        </w:rPr>
        <w:t>est</w:t>
      </w:r>
      <w:r w:rsidR="008720E2" w:rsidRPr="00C90D89">
        <w:rPr>
          <w:rFonts w:ascii="Times New Roman" w:hAnsi="Times New Roman" w:cs="Times New Roman"/>
        </w:rPr>
        <w:t>a forma indireta. Trata-se da consolidação de um movimento histórico, no sentido da busca pela eficiência na prestação desses serviços, provada, pela experiência (e nossa história recente está aí como testemunha ocular</w:t>
      </w:r>
      <w:r w:rsidR="00617441" w:rsidRPr="00C90D89">
        <w:rPr>
          <w:rFonts w:ascii="Times New Roman" w:hAnsi="Times New Roman" w:cs="Times New Roman"/>
        </w:rPr>
        <w:t xml:space="preserve"> para tanto</w:t>
      </w:r>
      <w:r w:rsidR="008720E2" w:rsidRPr="00C90D89">
        <w:rPr>
          <w:rFonts w:ascii="Times New Roman" w:hAnsi="Times New Roman" w:cs="Times New Roman"/>
        </w:rPr>
        <w:t xml:space="preserve">), estar </w:t>
      </w:r>
      <w:r w:rsidR="005D35D7">
        <w:rPr>
          <w:rFonts w:ascii="Times New Roman" w:hAnsi="Times New Roman" w:cs="Times New Roman"/>
        </w:rPr>
        <w:t xml:space="preserve">antes </w:t>
      </w:r>
      <w:r w:rsidR="008720E2" w:rsidRPr="00C90D89">
        <w:rPr>
          <w:rFonts w:ascii="Times New Roman" w:hAnsi="Times New Roman" w:cs="Times New Roman"/>
        </w:rPr>
        <w:t xml:space="preserve">ao lado da iniciativa privada que do setor público. </w:t>
      </w:r>
    </w:p>
    <w:p w14:paraId="02D1523D" w14:textId="77777777" w:rsidR="000E319E" w:rsidRPr="00C90D89" w:rsidRDefault="000E319E" w:rsidP="00875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0E1DFD1" w14:textId="748FEC77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Ocorre, porém, que o </w:t>
      </w:r>
      <w:r w:rsidR="008C2573" w:rsidRPr="00C90D89">
        <w:rPr>
          <w:rFonts w:ascii="Times New Roman" w:hAnsi="Times New Roman" w:cs="Times New Roman"/>
        </w:rPr>
        <w:t xml:space="preserve">art. 218 da resolução normativa </w:t>
      </w:r>
      <w:r w:rsidR="00617441" w:rsidRPr="00C90D89">
        <w:rPr>
          <w:rFonts w:ascii="Times New Roman" w:hAnsi="Times New Roman" w:cs="Times New Roman"/>
        </w:rPr>
        <w:t xml:space="preserve">em comento vai </w:t>
      </w:r>
      <w:r w:rsidRPr="00C90D89">
        <w:rPr>
          <w:rFonts w:ascii="Times New Roman" w:hAnsi="Times New Roman" w:cs="Times New Roman"/>
        </w:rPr>
        <w:t>na contramão desse movimento histórico, consolidado nos dispositivos constitucionais</w:t>
      </w:r>
      <w:r w:rsidR="00617441" w:rsidRPr="00C90D89">
        <w:rPr>
          <w:rFonts w:ascii="Times New Roman" w:hAnsi="Times New Roman" w:cs="Times New Roman"/>
        </w:rPr>
        <w:t xml:space="preserve"> citados</w:t>
      </w:r>
      <w:r w:rsidRPr="00C90D89">
        <w:rPr>
          <w:rFonts w:ascii="Times New Roman" w:hAnsi="Times New Roman" w:cs="Times New Roman"/>
        </w:rPr>
        <w:t>. Ao se ler, em tal dispositivo, que “</w:t>
      </w:r>
      <w:r w:rsidRPr="00C90D89">
        <w:rPr>
          <w:rFonts w:ascii="Times New Roman" w:hAnsi="Times New Roman" w:cs="Times New Roman"/>
          <w:i/>
        </w:rPr>
        <w:t>a distribuidora deve transferir o sistema de iluminação pública registrado como Ativo Imobilizado em Serviço – AIS à pessoa jurídica de direito público competente</w:t>
      </w:r>
      <w:r w:rsidRPr="00C90D89">
        <w:rPr>
          <w:rFonts w:ascii="Times New Roman" w:hAnsi="Times New Roman" w:cs="Times New Roman"/>
        </w:rPr>
        <w:t xml:space="preserve">”, </w:t>
      </w:r>
      <w:r w:rsidR="00617441" w:rsidRPr="00C90D89">
        <w:rPr>
          <w:rFonts w:ascii="Times New Roman" w:hAnsi="Times New Roman" w:cs="Times New Roman"/>
        </w:rPr>
        <w:t xml:space="preserve">vê-se </w:t>
      </w:r>
      <w:r w:rsidRPr="00C90D89">
        <w:rPr>
          <w:rFonts w:ascii="Times New Roman" w:hAnsi="Times New Roman" w:cs="Times New Roman"/>
        </w:rPr>
        <w:t>est</w:t>
      </w:r>
      <w:r w:rsidR="00617441" w:rsidRPr="00C90D89">
        <w:rPr>
          <w:rFonts w:ascii="Times New Roman" w:hAnsi="Times New Roman" w:cs="Times New Roman"/>
        </w:rPr>
        <w:t>ar</w:t>
      </w:r>
      <w:r w:rsidRPr="00C90D89">
        <w:rPr>
          <w:rFonts w:ascii="Times New Roman" w:hAnsi="Times New Roman" w:cs="Times New Roman"/>
        </w:rPr>
        <w:t xml:space="preserve"> ele </w:t>
      </w:r>
      <w:r w:rsidR="00CE27C4">
        <w:rPr>
          <w:rFonts w:ascii="Times New Roman" w:hAnsi="Times New Roman" w:cs="Times New Roman"/>
        </w:rPr>
        <w:t xml:space="preserve">em </w:t>
      </w:r>
      <w:r w:rsidR="00617441" w:rsidRPr="00C90D89">
        <w:rPr>
          <w:rFonts w:ascii="Times New Roman" w:hAnsi="Times New Roman" w:cs="Times New Roman"/>
        </w:rPr>
        <w:t>opos</w:t>
      </w:r>
      <w:r w:rsidR="00CE27C4">
        <w:rPr>
          <w:rFonts w:ascii="Times New Roman" w:hAnsi="Times New Roman" w:cs="Times New Roman"/>
        </w:rPr>
        <w:t>ição</w:t>
      </w:r>
      <w:r w:rsidRPr="00C90D89">
        <w:rPr>
          <w:rFonts w:ascii="Times New Roman" w:hAnsi="Times New Roman" w:cs="Times New Roman"/>
        </w:rPr>
        <w:t xml:space="preserve"> </w:t>
      </w:r>
      <w:r w:rsidR="00CE27C4">
        <w:rPr>
          <w:rFonts w:ascii="Times New Roman" w:hAnsi="Times New Roman" w:cs="Times New Roman"/>
        </w:rPr>
        <w:t>a</w:t>
      </w:r>
      <w:r w:rsidRPr="00C90D89">
        <w:rPr>
          <w:rFonts w:ascii="Times New Roman" w:hAnsi="Times New Roman" w:cs="Times New Roman"/>
        </w:rPr>
        <w:t xml:space="preserve">o comando de preferência da Constituição, </w:t>
      </w:r>
      <w:r w:rsidR="00617441" w:rsidRPr="00C90D89">
        <w:rPr>
          <w:rFonts w:ascii="Times New Roman" w:hAnsi="Times New Roman" w:cs="Times New Roman"/>
        </w:rPr>
        <w:t>por reverter</w:t>
      </w:r>
      <w:r w:rsidRPr="00C90D89">
        <w:rPr>
          <w:rFonts w:ascii="Times New Roman" w:hAnsi="Times New Roman" w:cs="Times New Roman"/>
        </w:rPr>
        <w:t xml:space="preserve"> ao poder público o serviço que, no plano jurídico-normativo atual, está conferido às distribuidoras, sejam elas da administração indireta, sejam</w:t>
      </w:r>
      <w:r w:rsidR="00617441" w:rsidRPr="00C90D89">
        <w:rPr>
          <w:rFonts w:ascii="Times New Roman" w:hAnsi="Times New Roman" w:cs="Times New Roman"/>
        </w:rPr>
        <w:t xml:space="preserve"> </w:t>
      </w:r>
      <w:r w:rsidR="00CE27C4">
        <w:rPr>
          <w:rFonts w:ascii="Times New Roman" w:hAnsi="Times New Roman" w:cs="Times New Roman"/>
        </w:rPr>
        <w:t xml:space="preserve">elas </w:t>
      </w:r>
      <w:r w:rsidRPr="00C90D89">
        <w:rPr>
          <w:rFonts w:ascii="Times New Roman" w:hAnsi="Times New Roman" w:cs="Times New Roman"/>
        </w:rPr>
        <w:t xml:space="preserve">pessoas jurídicas de direito privado. </w:t>
      </w:r>
    </w:p>
    <w:p w14:paraId="785457C2" w14:textId="77777777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5095573" w14:textId="50721D21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Isso é, enquanto a Constituição, em seu art. 174, prescreve ao poder público um papel preferencialmente </w:t>
      </w:r>
      <w:r w:rsidR="00A432A2" w:rsidRPr="00C90D89">
        <w:rPr>
          <w:rFonts w:ascii="Times New Roman" w:hAnsi="Times New Roman" w:cs="Times New Roman"/>
          <w:b/>
        </w:rPr>
        <w:t>normativo</w:t>
      </w:r>
      <w:r w:rsidR="00A432A2" w:rsidRPr="00C90D89">
        <w:rPr>
          <w:rFonts w:ascii="Times New Roman" w:hAnsi="Times New Roman" w:cs="Times New Roman"/>
        </w:rPr>
        <w:t xml:space="preserve"> e </w:t>
      </w:r>
      <w:r w:rsidRPr="00C90D89">
        <w:rPr>
          <w:rFonts w:ascii="Times New Roman" w:hAnsi="Times New Roman" w:cs="Times New Roman"/>
          <w:b/>
        </w:rPr>
        <w:t>regulador</w:t>
      </w:r>
      <w:r w:rsidR="00CE27C4">
        <w:rPr>
          <w:rFonts w:ascii="Times New Roman" w:hAnsi="Times New Roman" w:cs="Times New Roman"/>
        </w:rPr>
        <w:t xml:space="preserve">, a resolução </w:t>
      </w:r>
      <w:r w:rsidRPr="00C90D89">
        <w:rPr>
          <w:rFonts w:ascii="Times New Roman" w:hAnsi="Times New Roman" w:cs="Times New Roman"/>
        </w:rPr>
        <w:t xml:space="preserve">está lhe atribuindo, a título de obrigação, um papel </w:t>
      </w:r>
      <w:r w:rsidRPr="00C90D89">
        <w:rPr>
          <w:rFonts w:ascii="Times New Roman" w:hAnsi="Times New Roman" w:cs="Times New Roman"/>
          <w:b/>
        </w:rPr>
        <w:t>prestador</w:t>
      </w:r>
      <w:r w:rsidR="00A432A2" w:rsidRPr="00C90D89">
        <w:rPr>
          <w:rFonts w:ascii="Times New Roman" w:hAnsi="Times New Roman" w:cs="Times New Roman"/>
        </w:rPr>
        <w:t>. A</w:t>
      </w:r>
      <w:r w:rsidRPr="00C90D89">
        <w:rPr>
          <w:rFonts w:ascii="Times New Roman" w:hAnsi="Times New Roman" w:cs="Times New Roman"/>
        </w:rPr>
        <w:t>inda que, posteriormente, viesse a delegar</w:t>
      </w:r>
      <w:r w:rsidR="00A432A2" w:rsidRPr="00C90D89">
        <w:rPr>
          <w:rFonts w:ascii="Times New Roman" w:hAnsi="Times New Roman" w:cs="Times New Roman"/>
        </w:rPr>
        <w:t xml:space="preserve"> o serviço, </w:t>
      </w:r>
      <w:r w:rsidRPr="00C90D89">
        <w:rPr>
          <w:rFonts w:ascii="Times New Roman" w:hAnsi="Times New Roman" w:cs="Times New Roman"/>
        </w:rPr>
        <w:t>consoante se viu nos itens anteriores, uma tal delegação – do poder público municipal às pessoas privadas – seria manifestamente inconstitucional</w:t>
      </w:r>
      <w:r w:rsidR="00A432A2" w:rsidRPr="00C90D89">
        <w:rPr>
          <w:rFonts w:ascii="Times New Roman" w:hAnsi="Times New Roman" w:cs="Times New Roman"/>
        </w:rPr>
        <w:t xml:space="preserve">, uma vez que o município não possui competência constitucional para </w:t>
      </w:r>
      <w:proofErr w:type="spellStart"/>
      <w:r w:rsidR="00A432A2" w:rsidRPr="00C90D89">
        <w:rPr>
          <w:rFonts w:ascii="Times New Roman" w:hAnsi="Times New Roman" w:cs="Times New Roman"/>
        </w:rPr>
        <w:t>normar</w:t>
      </w:r>
      <w:proofErr w:type="spellEnd"/>
      <w:r w:rsidR="00A432A2" w:rsidRPr="00C90D89">
        <w:rPr>
          <w:rFonts w:ascii="Times New Roman" w:hAnsi="Times New Roman" w:cs="Times New Roman"/>
        </w:rPr>
        <w:t xml:space="preserve"> e regular esses serviços</w:t>
      </w:r>
      <w:r w:rsidR="005503B1">
        <w:rPr>
          <w:rFonts w:ascii="Times New Roman" w:hAnsi="Times New Roman" w:cs="Times New Roman"/>
        </w:rPr>
        <w:t xml:space="preserve"> e, pois, para os conceder</w:t>
      </w:r>
      <w:r w:rsidRPr="00C90D89">
        <w:rPr>
          <w:rFonts w:ascii="Times New Roman" w:hAnsi="Times New Roman" w:cs="Times New Roman"/>
        </w:rPr>
        <w:t xml:space="preserve">. </w:t>
      </w:r>
    </w:p>
    <w:p w14:paraId="1E17FF4C" w14:textId="77777777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09A8B1" w14:textId="4E17C79D" w:rsidR="00F1573F" w:rsidRPr="00C90D89" w:rsidRDefault="005503B1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720E2" w:rsidRPr="00C90D89">
        <w:rPr>
          <w:rFonts w:ascii="Times New Roman" w:hAnsi="Times New Roman" w:cs="Times New Roman"/>
        </w:rPr>
        <w:t xml:space="preserve"> “reestatização” do serviço </w:t>
      </w:r>
      <w:r>
        <w:rPr>
          <w:rFonts w:ascii="Times New Roman" w:hAnsi="Times New Roman" w:cs="Times New Roman"/>
        </w:rPr>
        <w:t>da</w:t>
      </w:r>
      <w:r w:rsidR="008720E2" w:rsidRPr="00C90D89">
        <w:rPr>
          <w:rFonts w:ascii="Times New Roman" w:hAnsi="Times New Roman" w:cs="Times New Roman"/>
        </w:rPr>
        <w:t>s instalações</w:t>
      </w:r>
      <w:r>
        <w:rPr>
          <w:rFonts w:ascii="Times New Roman" w:hAnsi="Times New Roman" w:cs="Times New Roman"/>
        </w:rPr>
        <w:t xml:space="preserve"> para iluminação pública</w:t>
      </w:r>
      <w:r w:rsidR="008720E2" w:rsidRPr="00C90D89">
        <w:rPr>
          <w:rFonts w:ascii="Times New Roman" w:hAnsi="Times New Roman" w:cs="Times New Roman"/>
        </w:rPr>
        <w:t xml:space="preserve">, </w:t>
      </w:r>
      <w:r w:rsidR="00A432A2" w:rsidRPr="00C90D89">
        <w:rPr>
          <w:rFonts w:ascii="Times New Roman" w:hAnsi="Times New Roman" w:cs="Times New Roman"/>
        </w:rPr>
        <w:t>operada pela Resolução Normativa n. 414/2010</w:t>
      </w:r>
      <w:r>
        <w:rPr>
          <w:rFonts w:ascii="Times New Roman" w:hAnsi="Times New Roman" w:cs="Times New Roman"/>
        </w:rPr>
        <w:t xml:space="preserve"> da ANEEL </w:t>
      </w:r>
      <w:r w:rsidR="008720E2" w:rsidRPr="00C90D8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, também ela,</w:t>
      </w:r>
      <w:r w:rsidR="008720E2" w:rsidRPr="00C90D89">
        <w:rPr>
          <w:rFonts w:ascii="Times New Roman" w:hAnsi="Times New Roman" w:cs="Times New Roman"/>
        </w:rPr>
        <w:t xml:space="preserve"> afrontosa ao texto constitucional, mais precisamente nos seus artigos </w:t>
      </w:r>
      <w:r w:rsidR="00A432A2" w:rsidRPr="00C90D89">
        <w:rPr>
          <w:rFonts w:ascii="Times New Roman" w:hAnsi="Times New Roman" w:cs="Times New Roman"/>
        </w:rPr>
        <w:t>173, 174 e 175</w:t>
      </w:r>
      <w:r w:rsidR="008720E2" w:rsidRPr="00C90D89">
        <w:rPr>
          <w:rFonts w:ascii="Times New Roman" w:hAnsi="Times New Roman" w:cs="Times New Roman"/>
        </w:rPr>
        <w:t xml:space="preserve">, e se faz motivo de sua invalidação. </w:t>
      </w:r>
      <w:r w:rsidR="00F71C8D" w:rsidRPr="00C90D89">
        <w:rPr>
          <w:rFonts w:ascii="Times New Roman" w:hAnsi="Times New Roman" w:cs="Times New Roman"/>
        </w:rPr>
        <w:t xml:space="preserve"> </w:t>
      </w:r>
    </w:p>
    <w:p w14:paraId="1B7A879B" w14:textId="77777777" w:rsidR="009B6B24" w:rsidRPr="00C90D89" w:rsidRDefault="009B6B24" w:rsidP="009B6B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87F9F27" w14:textId="4C95011E" w:rsidR="001E76A5" w:rsidRPr="00C90D89" w:rsidRDefault="00C9792B" w:rsidP="00EA5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90D89">
        <w:rPr>
          <w:rFonts w:ascii="Times New Roman" w:hAnsi="Times New Roman" w:cs="Times New Roman"/>
          <w:bCs/>
          <w:i/>
        </w:rPr>
        <w:t xml:space="preserve">2.1.5. Quinta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bCs/>
          <w:i/>
        </w:rPr>
        <w:t>ilegalidades frente à</w:t>
      </w:r>
      <w:r w:rsidR="00EA5254" w:rsidRPr="00C90D89">
        <w:rPr>
          <w:rFonts w:ascii="Times New Roman" w:hAnsi="Times New Roman" w:cs="Times New Roman"/>
          <w:i/>
        </w:rPr>
        <w:t xml:space="preserve"> Lei de Concessões e às obrigações contratuais</w:t>
      </w:r>
    </w:p>
    <w:p w14:paraId="1CE6F905" w14:textId="77777777" w:rsidR="00C9792B" w:rsidRPr="00C90D89" w:rsidRDefault="00C9792B" w:rsidP="00B637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9B589F0" w14:textId="60AB5D6F" w:rsidR="00A432A2" w:rsidRPr="00C90D89" w:rsidRDefault="00A432A2" w:rsidP="00B637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Além das firmes inconstitucionalidades da resolução normativa, há razões legais e contratuais para essa invalidade. </w:t>
      </w:r>
      <w:r w:rsidR="005503B1">
        <w:rPr>
          <w:rFonts w:ascii="Times New Roman" w:hAnsi="Times New Roman" w:cs="Times New Roman"/>
        </w:rPr>
        <w:t>Vejamos.</w:t>
      </w:r>
    </w:p>
    <w:p w14:paraId="57988D17" w14:textId="77777777" w:rsidR="00A432A2" w:rsidRPr="00C90D89" w:rsidRDefault="00A432A2" w:rsidP="00E51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80FACC4" w14:textId="0A8E492E" w:rsidR="00A432A2" w:rsidRPr="00C90D89" w:rsidRDefault="00A432A2" w:rsidP="00A43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No parágrafo único do art. 175 da Constituição Federal é estabelecida a diretriz de que seja editada lei para dispor, no caso da concessão dos serviços públicos, sobre o regime das empresas concessionárias (inciso I), o direito dos usuários (inciso II), a política tarifária (inciso III) e a obrigação de manter serviço adequado (inciso IV). Essa diretriz foi atendida pela edição da Lei de Concessões</w:t>
      </w:r>
      <w:r w:rsidR="00765980" w:rsidRPr="00C90D89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>(</w:t>
      </w:r>
      <w:r w:rsidR="00765980" w:rsidRPr="00C90D89">
        <w:rPr>
          <w:rFonts w:ascii="Times New Roman" w:hAnsi="Times New Roman" w:cs="Times New Roman"/>
        </w:rPr>
        <w:t>Lei n. 8.987/1995</w:t>
      </w:r>
      <w:r w:rsidRPr="00C90D89">
        <w:rPr>
          <w:rFonts w:ascii="Times New Roman" w:hAnsi="Times New Roman" w:cs="Times New Roman"/>
        </w:rPr>
        <w:t>), a qual concretizou, no plano infraconstitucional, aquelas obrigações relacionadas aos serviços públicos concedidos. E, mais especificamente sobre a obrigação de manter serviço adequado, assim prescreveu, em seu art. 6º, § 1º</w:t>
      </w:r>
      <w:r w:rsidR="00A6212B" w:rsidRPr="00C90D89">
        <w:rPr>
          <w:rFonts w:ascii="Times New Roman" w:hAnsi="Times New Roman" w:cs="Times New Roman"/>
        </w:rPr>
        <w:t>:</w:t>
      </w:r>
    </w:p>
    <w:p w14:paraId="0428DD96" w14:textId="77777777" w:rsidR="00A432A2" w:rsidRPr="00C90D89" w:rsidRDefault="00A432A2" w:rsidP="00A43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13F2145" w14:textId="77777777" w:rsidR="00A432A2" w:rsidRPr="00C90D89" w:rsidRDefault="00A6212B" w:rsidP="00A432A2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 w:val="22"/>
          <w:szCs w:val="22"/>
        </w:rPr>
        <w:t>Art. 6º Toda concessão ou permissão pressupõe a prestação de serviço adequado ao pleno atendimento dos usuários, conforme estabelecido nesta Lei, nas normas pertinentes e no respectivo contrato.</w:t>
      </w:r>
    </w:p>
    <w:p w14:paraId="3ECB39E8" w14:textId="28193832" w:rsidR="00E51F96" w:rsidRPr="00C90D89" w:rsidRDefault="00A6212B" w:rsidP="00A432A2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 w:val="22"/>
          <w:szCs w:val="22"/>
        </w:rPr>
        <w:t>§ 1º Serviço adequado é o que satisfaz as condições de regularidade, continuidade, eficiência, segurança, atualidade, generalidade, cortesia na sua prestação e modicidade das tarifas.</w:t>
      </w:r>
    </w:p>
    <w:p w14:paraId="50A950D1" w14:textId="77777777" w:rsidR="00A432A2" w:rsidRPr="00C90D89" w:rsidRDefault="00A432A2" w:rsidP="00E51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B061478" w14:textId="36D06206" w:rsidR="002934FB" w:rsidRPr="00C90D89" w:rsidRDefault="002934FB" w:rsidP="00E51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Não obstante se possa discutir a aplicação dessa obrigação de manter serviço adequado no caso d</w:t>
      </w:r>
      <w:r w:rsidR="00E176B9">
        <w:rPr>
          <w:rFonts w:ascii="Times New Roman" w:hAnsi="Times New Roman" w:cs="Times New Roman"/>
        </w:rPr>
        <w:t xml:space="preserve">a prestação direta, pelo </w:t>
      </w:r>
      <w:r w:rsidRPr="00C90D89">
        <w:rPr>
          <w:rFonts w:ascii="Times New Roman" w:hAnsi="Times New Roman" w:cs="Times New Roman"/>
        </w:rPr>
        <w:t xml:space="preserve">município, </w:t>
      </w:r>
      <w:r w:rsidR="00E176B9">
        <w:rPr>
          <w:rFonts w:ascii="Times New Roman" w:hAnsi="Times New Roman" w:cs="Times New Roman"/>
        </w:rPr>
        <w:t xml:space="preserve">dos </w:t>
      </w:r>
      <w:r w:rsidRPr="00C90D89">
        <w:rPr>
          <w:rFonts w:ascii="Times New Roman" w:hAnsi="Times New Roman" w:cs="Times New Roman"/>
        </w:rPr>
        <w:t xml:space="preserve">serviços de iluminação pública (já que se trata de uma garantia relativa às concessões dos serviços, não de sua prestação direta), o que grita, no ponto, é: os municípios, de um modo geral, não possuem capacidade técnica e financeira de prestar esse serviço de modo adequado, segundo a exigência da lei. Não se podendo falar pelos outros, fala-se no caso </w:t>
      </w:r>
      <w:r w:rsidR="00E176B9">
        <w:rPr>
          <w:rFonts w:ascii="Times New Roman" w:hAnsi="Times New Roman" w:cs="Times New Roman"/>
        </w:rPr>
        <w:t>objeto desta lide</w:t>
      </w:r>
      <w:r w:rsidRPr="00C90D89">
        <w:rPr>
          <w:rFonts w:ascii="Times New Roman" w:hAnsi="Times New Roman" w:cs="Times New Roman"/>
        </w:rPr>
        <w:t xml:space="preserve">: </w:t>
      </w:r>
      <w:r w:rsidRPr="00E176B9">
        <w:rPr>
          <w:rFonts w:ascii="Times New Roman" w:hAnsi="Times New Roman" w:cs="Times New Roman"/>
          <w:b/>
          <w:u w:val="single"/>
        </w:rPr>
        <w:t>o Município autor</w:t>
      </w:r>
      <w:r w:rsidRPr="00E176B9">
        <w:rPr>
          <w:rFonts w:ascii="Times New Roman" w:hAnsi="Times New Roman" w:cs="Times New Roman"/>
          <w:u w:val="single"/>
        </w:rPr>
        <w:t>, sem comprometer outras áreas prioritárias, cujo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 xml:space="preserve"> encargo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>, esse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 xml:space="preserve"> sim, </w:t>
      </w:r>
      <w:r w:rsidR="00E176B9" w:rsidRPr="00E176B9">
        <w:rPr>
          <w:rFonts w:ascii="Times New Roman" w:hAnsi="Times New Roman" w:cs="Times New Roman"/>
          <w:u w:val="single"/>
        </w:rPr>
        <w:t xml:space="preserve">são </w:t>
      </w:r>
      <w:r w:rsidRPr="00E176B9">
        <w:rPr>
          <w:rFonts w:ascii="Times New Roman" w:hAnsi="Times New Roman" w:cs="Times New Roman"/>
          <w:u w:val="single"/>
        </w:rPr>
        <w:t>lhe imposto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 xml:space="preserve"> pela Constituição (como saúde e edu</w:t>
      </w:r>
      <w:r w:rsidR="00E176B9" w:rsidRPr="00E176B9">
        <w:rPr>
          <w:rFonts w:ascii="Times New Roman" w:hAnsi="Times New Roman" w:cs="Times New Roman"/>
          <w:u w:val="single"/>
        </w:rPr>
        <w:t>ca</w:t>
      </w:r>
      <w:r w:rsidRPr="00E176B9">
        <w:rPr>
          <w:rFonts w:ascii="Times New Roman" w:hAnsi="Times New Roman" w:cs="Times New Roman"/>
          <w:u w:val="single"/>
        </w:rPr>
        <w:t xml:space="preserve">ção), </w:t>
      </w:r>
      <w:r w:rsidRPr="00E176B9">
        <w:rPr>
          <w:rFonts w:ascii="Times New Roman" w:hAnsi="Times New Roman" w:cs="Times New Roman"/>
          <w:b/>
          <w:u w:val="single"/>
        </w:rPr>
        <w:t xml:space="preserve">não possui </w:t>
      </w:r>
      <w:r w:rsidRPr="00E176B9">
        <w:rPr>
          <w:rFonts w:ascii="Times New Roman" w:hAnsi="Times New Roman" w:cs="Times New Roman"/>
          <w:u w:val="single"/>
        </w:rPr>
        <w:t>condições</w:t>
      </w:r>
      <w:r w:rsidR="00E176B9" w:rsidRPr="00E176B9">
        <w:rPr>
          <w:rFonts w:ascii="Times New Roman" w:hAnsi="Times New Roman" w:cs="Times New Roman"/>
          <w:u w:val="single"/>
        </w:rPr>
        <w:t xml:space="preserve"> (</w:t>
      </w:r>
      <w:r w:rsidRPr="00E176B9">
        <w:rPr>
          <w:rFonts w:ascii="Times New Roman" w:hAnsi="Times New Roman" w:cs="Times New Roman"/>
          <w:u w:val="single"/>
        </w:rPr>
        <w:t>estruturais, financeiras, técnicas ou de pessoal</w:t>
      </w:r>
      <w:r w:rsidR="00E176B9" w:rsidRPr="00E176B9">
        <w:rPr>
          <w:rFonts w:ascii="Times New Roman" w:hAnsi="Times New Roman" w:cs="Times New Roman"/>
          <w:u w:val="single"/>
        </w:rPr>
        <w:t xml:space="preserve">) </w:t>
      </w:r>
      <w:r w:rsidR="00E176B9" w:rsidRPr="00E176B9">
        <w:rPr>
          <w:rFonts w:ascii="Times New Roman" w:hAnsi="Times New Roman" w:cs="Times New Roman"/>
          <w:b/>
          <w:u w:val="single"/>
        </w:rPr>
        <w:t xml:space="preserve">para </w:t>
      </w:r>
      <w:r w:rsidRPr="00E176B9">
        <w:rPr>
          <w:rFonts w:ascii="Times New Roman" w:hAnsi="Times New Roman" w:cs="Times New Roman"/>
          <w:b/>
          <w:u w:val="single"/>
        </w:rPr>
        <w:t>manter o</w:t>
      </w:r>
      <w:r w:rsidR="00E176B9" w:rsidRPr="00E176B9">
        <w:rPr>
          <w:rFonts w:ascii="Times New Roman" w:hAnsi="Times New Roman" w:cs="Times New Roman"/>
          <w:b/>
          <w:u w:val="single"/>
        </w:rPr>
        <w:t xml:space="preserve">s serviços relacionados às </w:t>
      </w:r>
      <w:r w:rsidRPr="00E176B9">
        <w:rPr>
          <w:rFonts w:ascii="Times New Roman" w:hAnsi="Times New Roman" w:cs="Times New Roman"/>
          <w:b/>
          <w:u w:val="single"/>
        </w:rPr>
        <w:t>instalações de iluminação pública</w:t>
      </w:r>
      <w:r w:rsidRPr="00E176B9">
        <w:rPr>
          <w:rFonts w:ascii="Times New Roman" w:hAnsi="Times New Roman" w:cs="Times New Roman"/>
          <w:u w:val="single"/>
        </w:rPr>
        <w:t>. Muito menos</w:t>
      </w:r>
      <w:r w:rsidR="00E176B9" w:rsidRPr="00E176B9">
        <w:rPr>
          <w:rFonts w:ascii="Times New Roman" w:hAnsi="Times New Roman" w:cs="Times New Roman"/>
          <w:u w:val="single"/>
        </w:rPr>
        <w:t xml:space="preserve"> de os manter de modo adequado</w:t>
      </w:r>
      <w:r w:rsidRPr="00C90D89">
        <w:rPr>
          <w:rFonts w:ascii="Times New Roman" w:hAnsi="Times New Roman" w:cs="Times New Roman"/>
        </w:rPr>
        <w:t xml:space="preserve">. </w:t>
      </w:r>
    </w:p>
    <w:p w14:paraId="296B7C3B" w14:textId="45B691AD" w:rsidR="00C5409F" w:rsidRPr="00C90D89" w:rsidRDefault="00C5409F" w:rsidP="002934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781D42B" w14:textId="1A72DE03" w:rsidR="005308C6" w:rsidRPr="00C90D89" w:rsidRDefault="002934FB" w:rsidP="005308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transferência de ativos, desse modo, </w:t>
      </w:r>
      <w:r w:rsidR="00E176B9">
        <w:rPr>
          <w:rFonts w:ascii="Times New Roman" w:hAnsi="Times New Roman" w:cs="Times New Roman"/>
        </w:rPr>
        <w:t>importa</w:t>
      </w:r>
      <w:r w:rsidRPr="00C90D89">
        <w:rPr>
          <w:rFonts w:ascii="Times New Roman" w:hAnsi="Times New Roman" w:cs="Times New Roman"/>
        </w:rPr>
        <w:t xml:space="preserve"> substancial risco </w:t>
      </w:r>
      <w:r w:rsidR="00C701C2" w:rsidRPr="00C90D89">
        <w:rPr>
          <w:rFonts w:ascii="Times New Roman" w:hAnsi="Times New Roman" w:cs="Times New Roman"/>
        </w:rPr>
        <w:t xml:space="preserve">para a própria continuidade do serviço, o que significaria a possibilidade de deixar a população, nos espaços públicos, constantemente às escuras, afetando, pois, sua segurança e lazer. E, porque não, no que toca à falta de segurança, </w:t>
      </w:r>
      <w:r w:rsidR="00E176B9">
        <w:rPr>
          <w:rFonts w:ascii="Times New Roman" w:hAnsi="Times New Roman" w:cs="Times New Roman"/>
        </w:rPr>
        <w:t>respingando em nocividade a</w:t>
      </w:r>
      <w:r w:rsidR="00C701C2" w:rsidRPr="00C90D89">
        <w:rPr>
          <w:rFonts w:ascii="Times New Roman" w:hAnsi="Times New Roman" w:cs="Times New Roman"/>
        </w:rPr>
        <w:t xml:space="preserve">o próprio direito de livre locomoção dos cidadãos, tendo-se em conta </w:t>
      </w:r>
      <w:r w:rsidR="00CF7D56" w:rsidRPr="00C90D89">
        <w:rPr>
          <w:rFonts w:ascii="Times New Roman" w:hAnsi="Times New Roman" w:cs="Times New Roman"/>
        </w:rPr>
        <w:t>o perigo potencial de transitar por logradouros públicos carentes de iluminação.</w:t>
      </w:r>
    </w:p>
    <w:p w14:paraId="4BE1E217" w14:textId="77777777" w:rsidR="00C701C2" w:rsidRPr="00C90D89" w:rsidRDefault="00C701C2" w:rsidP="006B43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CD76CE0" w14:textId="17951D7D" w:rsidR="006B1BB8" w:rsidRPr="00C90D89" w:rsidRDefault="00CF7D56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É digno de nota que o </w:t>
      </w:r>
      <w:r w:rsidR="002F6595" w:rsidRPr="00C90D89">
        <w:rPr>
          <w:rFonts w:ascii="Times New Roman" w:hAnsi="Times New Roman" w:cs="Times New Roman"/>
        </w:rPr>
        <w:t>Decreto n. 41.019/1957</w:t>
      </w:r>
      <w:r w:rsidRPr="00C90D89">
        <w:rPr>
          <w:rFonts w:ascii="Times New Roman" w:hAnsi="Times New Roman" w:cs="Times New Roman"/>
        </w:rPr>
        <w:t xml:space="preserve">, ao tratar da hipótese de transferir </w:t>
      </w:r>
      <w:r w:rsidR="006B1BB8" w:rsidRPr="00C90D89">
        <w:rPr>
          <w:rFonts w:ascii="Times New Roman" w:hAnsi="Times New Roman" w:cs="Times New Roman"/>
        </w:rPr>
        <w:t xml:space="preserve">aos Estados a atribuição de conceder e fiscalizar os serviços de energia elétrica, em seu art. 37, o faz com </w:t>
      </w:r>
      <w:r w:rsidR="00E176B9">
        <w:rPr>
          <w:rFonts w:ascii="Times New Roman" w:hAnsi="Times New Roman" w:cs="Times New Roman"/>
        </w:rPr>
        <w:t>algumas</w:t>
      </w:r>
      <w:r w:rsidR="006B1BB8" w:rsidRPr="00C90D89">
        <w:rPr>
          <w:rFonts w:ascii="Times New Roman" w:hAnsi="Times New Roman" w:cs="Times New Roman"/>
        </w:rPr>
        <w:t xml:space="preserve"> condições </w:t>
      </w:r>
      <w:proofErr w:type="spellStart"/>
      <w:r w:rsidR="006B1BB8" w:rsidRPr="00C90D89">
        <w:rPr>
          <w:rFonts w:ascii="Times New Roman" w:hAnsi="Times New Roman" w:cs="Times New Roman"/>
          <w:i/>
        </w:rPr>
        <w:t>sine</w:t>
      </w:r>
      <w:proofErr w:type="spellEnd"/>
      <w:r w:rsidR="006B1BB8" w:rsidRPr="00C90D89">
        <w:rPr>
          <w:rFonts w:ascii="Times New Roman" w:hAnsi="Times New Roman" w:cs="Times New Roman"/>
          <w:i/>
        </w:rPr>
        <w:t xml:space="preserve"> </w:t>
      </w:r>
      <w:proofErr w:type="spellStart"/>
      <w:r w:rsidR="006B1BB8" w:rsidRPr="00C90D89">
        <w:rPr>
          <w:rFonts w:ascii="Times New Roman" w:hAnsi="Times New Roman" w:cs="Times New Roman"/>
          <w:i/>
        </w:rPr>
        <w:t>qua</w:t>
      </w:r>
      <w:proofErr w:type="spellEnd"/>
      <w:r w:rsidR="006B1BB8" w:rsidRPr="00C90D89">
        <w:rPr>
          <w:rFonts w:ascii="Times New Roman" w:hAnsi="Times New Roman" w:cs="Times New Roman"/>
          <w:i/>
        </w:rPr>
        <w:t xml:space="preserve"> non</w:t>
      </w:r>
      <w:r w:rsidR="006B1BB8" w:rsidRPr="00C90D89">
        <w:rPr>
          <w:rFonts w:ascii="Times New Roman" w:hAnsi="Times New Roman" w:cs="Times New Roman"/>
        </w:rPr>
        <w:t>: os Estados interessados devem “</w:t>
      </w:r>
      <w:r w:rsidR="006B1BB8" w:rsidRPr="00C90D89">
        <w:rPr>
          <w:rFonts w:ascii="Times New Roman" w:hAnsi="Times New Roman" w:cs="Times New Roman"/>
          <w:i/>
        </w:rPr>
        <w:t xml:space="preserve">possuir </w:t>
      </w:r>
      <w:r w:rsidR="00904436" w:rsidRPr="00C90D89">
        <w:rPr>
          <w:rFonts w:ascii="Times New Roman" w:hAnsi="Times New Roman" w:cs="Times New Roman"/>
          <w:i/>
        </w:rPr>
        <w:t>um serviço técnico-administrativo a que estejam afetos os assuntos concernentes ao estudo e avaliação do potencial hidráulico, seu aproveitamento industrial, inclusive transformação em energia elétrica e sua exploração, capaz de desempenhar os seguintes serviços: a) estudos de regimes de cursos d'água, avaliação do potencial hidráulico, projetos e estudos técnicos; b) concessões, autorizações, tarifas e estudos econômicos; c) fiscalização técnica e contábil e demais serviços necessários ao desempen</w:t>
      </w:r>
      <w:r w:rsidR="006B1BB8" w:rsidRPr="00C90D89">
        <w:rPr>
          <w:rFonts w:ascii="Times New Roman" w:hAnsi="Times New Roman" w:cs="Times New Roman"/>
          <w:i/>
        </w:rPr>
        <w:t>ho das atribuições transferidas</w:t>
      </w:r>
      <w:r w:rsidR="006B1BB8" w:rsidRPr="00C90D89">
        <w:rPr>
          <w:rFonts w:ascii="Times New Roman" w:hAnsi="Times New Roman" w:cs="Times New Roman"/>
        </w:rPr>
        <w:t xml:space="preserve">” (art. 38, caput); e os Estados devem possuir pessoal, aparelhamento técnico e dotação orçamentária, comprovando isso à União (art. 39, “b”, “c” e “d”). </w:t>
      </w:r>
    </w:p>
    <w:p w14:paraId="1C2A8871" w14:textId="2F78B4C7" w:rsidR="00864814" w:rsidRPr="00C90D89" w:rsidRDefault="006B1BB8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 </w:t>
      </w:r>
    </w:p>
    <w:p w14:paraId="22A1D61B" w14:textId="5D36D377" w:rsidR="006B1BB8" w:rsidRPr="00C90D89" w:rsidRDefault="006B1BB8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176B9">
        <w:rPr>
          <w:rFonts w:ascii="Times New Roman" w:hAnsi="Times New Roman" w:cs="Times New Roman"/>
          <w:u w:val="single"/>
        </w:rPr>
        <w:t xml:space="preserve">Primeiro, que se diga que essa possibilidade de transferência foi conferida, pela lei, apenas aos Estados, não aos </w:t>
      </w:r>
      <w:r w:rsidR="00E176B9" w:rsidRPr="00E176B9">
        <w:rPr>
          <w:rFonts w:ascii="Times New Roman" w:hAnsi="Times New Roman" w:cs="Times New Roman"/>
          <w:u w:val="single"/>
        </w:rPr>
        <w:t>M</w:t>
      </w:r>
      <w:r w:rsidRPr="00E176B9">
        <w:rPr>
          <w:rFonts w:ascii="Times New Roman" w:hAnsi="Times New Roman" w:cs="Times New Roman"/>
          <w:u w:val="single"/>
        </w:rPr>
        <w:t>unicípios. Segundo, tratam-se de condições que o Município autor, claramente, não tem como atender</w:t>
      </w:r>
      <w:r w:rsidRPr="00C90D89">
        <w:rPr>
          <w:rFonts w:ascii="Times New Roman" w:hAnsi="Times New Roman" w:cs="Times New Roman"/>
        </w:rPr>
        <w:t xml:space="preserve">. </w:t>
      </w:r>
    </w:p>
    <w:p w14:paraId="44D23175" w14:textId="77777777" w:rsidR="006B1BB8" w:rsidRPr="00C90D89" w:rsidRDefault="006B1BB8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8D9D986" w14:textId="27A52AA3" w:rsidR="00A0528B" w:rsidRPr="00C90D89" w:rsidRDefault="00836F52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Há também razões legais que vão </w:t>
      </w:r>
      <w:r w:rsidR="00E176B9">
        <w:rPr>
          <w:rFonts w:ascii="Times New Roman" w:hAnsi="Times New Roman" w:cs="Times New Roman"/>
        </w:rPr>
        <w:t>n</w:t>
      </w:r>
      <w:r w:rsidRPr="00C90D89">
        <w:rPr>
          <w:rFonts w:ascii="Times New Roman" w:hAnsi="Times New Roman" w:cs="Times New Roman"/>
        </w:rPr>
        <w:t>o caminho da invalidação da resolução normativa</w:t>
      </w:r>
      <w:r w:rsidR="00E176B9">
        <w:rPr>
          <w:rFonts w:ascii="Times New Roman" w:hAnsi="Times New Roman" w:cs="Times New Roman"/>
        </w:rPr>
        <w:t xml:space="preserve">, mas </w:t>
      </w:r>
      <w:r w:rsidRPr="00C90D89">
        <w:rPr>
          <w:rFonts w:ascii="Times New Roman" w:hAnsi="Times New Roman" w:cs="Times New Roman"/>
        </w:rPr>
        <w:t xml:space="preserve">que dizem respeito às obrigações contratuais da distribuidora ré.  </w:t>
      </w:r>
      <w:r w:rsidR="008E4FA5" w:rsidRPr="00C90D89">
        <w:rPr>
          <w:rFonts w:ascii="Times New Roman" w:hAnsi="Times New Roman" w:cs="Times New Roman"/>
        </w:rPr>
        <w:t xml:space="preserve"> </w:t>
      </w:r>
    </w:p>
    <w:p w14:paraId="462C2611" w14:textId="77777777" w:rsidR="00836F52" w:rsidRPr="00C90D89" w:rsidRDefault="00836F52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4D93C1B" w14:textId="4E06A491" w:rsidR="0025544D" w:rsidRPr="00C90D89" w:rsidRDefault="00E176B9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é cediço, a</w:t>
      </w:r>
      <w:r w:rsidR="00836F52" w:rsidRPr="00C90D89">
        <w:rPr>
          <w:rFonts w:ascii="Times New Roman" w:hAnsi="Times New Roman" w:cs="Times New Roman"/>
        </w:rPr>
        <w:t xml:space="preserve">s concessões de distribuição de energia elétrica, </w:t>
      </w:r>
      <w:r>
        <w:rPr>
          <w:rFonts w:ascii="Times New Roman" w:hAnsi="Times New Roman" w:cs="Times New Roman"/>
        </w:rPr>
        <w:t xml:space="preserve">assim </w:t>
      </w:r>
      <w:r w:rsidR="00836F52" w:rsidRPr="00C90D89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as demais</w:t>
      </w:r>
      <w:r w:rsidR="00836F52" w:rsidRPr="00C90D89">
        <w:rPr>
          <w:rFonts w:ascii="Times New Roman" w:hAnsi="Times New Roman" w:cs="Times New Roman"/>
        </w:rPr>
        <w:t xml:space="preserve">, são perfectibilizadas por um contrato, assinado pelo poder concedente (no caso, a União, ora representada pela ré ANEEL) e a distribuidora (no caso, a ré </w:t>
      </w:r>
      <w:r w:rsidR="00836F52" w:rsidRPr="00C90D89">
        <w:rPr>
          <w:rFonts w:ascii="Times New Roman" w:hAnsi="Times New Roman" w:cs="Times New Roman"/>
          <w:color w:val="FF0000"/>
        </w:rPr>
        <w:t>XXXXX</w:t>
      </w:r>
      <w:r w:rsidR="00836F52" w:rsidRPr="00C90D89">
        <w:rPr>
          <w:rFonts w:ascii="Times New Roman" w:hAnsi="Times New Roman" w:cs="Times New Roman"/>
        </w:rPr>
        <w:t xml:space="preserve">). </w:t>
      </w:r>
      <w:r w:rsidR="0025544D" w:rsidRPr="00C90D89">
        <w:rPr>
          <w:rFonts w:ascii="Times New Roman" w:hAnsi="Times New Roman" w:cs="Times New Roman"/>
        </w:rPr>
        <w:t xml:space="preserve">Esses contratos são disciplinados pela Lei de Licitações e pelos artigos 23 e seguintes da Lei de Concessões. Ocorre que, nessa disciplina contratual, todo contrato de concessão abrange um tópico essencial: o equilíbrio econômico-financeiro (art. 9º, § 2º da Lei de Concessões). Trata-se da obrigação de ser mantida, em seu núcleo, a equação que fornece o plexo de prestações e contraprestações relacionadas ao objeto contratado. Essa equação diz-se intangível, isso é, não pode ser modificada. Assim, ainda que possam ser modificadas prestações ou contraprestações, aquela equação </w:t>
      </w:r>
      <w:r w:rsidR="003E57E1" w:rsidRPr="00C90D89">
        <w:rPr>
          <w:rFonts w:ascii="Times New Roman" w:hAnsi="Times New Roman" w:cs="Times New Roman"/>
        </w:rPr>
        <w:t xml:space="preserve">inicial contratada </w:t>
      </w:r>
      <w:r w:rsidR="0025544D" w:rsidRPr="00C90D89">
        <w:rPr>
          <w:rFonts w:ascii="Times New Roman" w:hAnsi="Times New Roman" w:cs="Times New Roman"/>
        </w:rPr>
        <w:t xml:space="preserve">deve ser sempre </w:t>
      </w:r>
      <w:r w:rsidR="003E57E1" w:rsidRPr="00C90D89">
        <w:rPr>
          <w:rFonts w:ascii="Times New Roman" w:hAnsi="Times New Roman" w:cs="Times New Roman"/>
        </w:rPr>
        <w:t>observada</w:t>
      </w:r>
      <w:r w:rsidR="0025544D" w:rsidRPr="00C90D89">
        <w:rPr>
          <w:rFonts w:ascii="Times New Roman" w:hAnsi="Times New Roman" w:cs="Times New Roman"/>
        </w:rPr>
        <w:t xml:space="preserve">. </w:t>
      </w:r>
    </w:p>
    <w:p w14:paraId="34DF916A" w14:textId="77777777" w:rsidR="0025544D" w:rsidRPr="00C90D89" w:rsidRDefault="0025544D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3EA14FF" w14:textId="1335BC85" w:rsidR="003E57E1" w:rsidRPr="00C90D89" w:rsidRDefault="003E57E1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É a lição</w:t>
      </w:r>
      <w:r w:rsidR="002C5356">
        <w:rPr>
          <w:rFonts w:ascii="Times New Roman" w:hAnsi="Times New Roman" w:cs="Times New Roman"/>
        </w:rPr>
        <w:t xml:space="preserve"> que se </w:t>
      </w:r>
      <w:r w:rsidRPr="00C90D89">
        <w:rPr>
          <w:rFonts w:ascii="Times New Roman" w:hAnsi="Times New Roman" w:cs="Times New Roman"/>
        </w:rPr>
        <w:t>colhe</w:t>
      </w:r>
      <w:r w:rsidR="002C5356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dentre tantos outros na mesma linha, de Marçal </w:t>
      </w:r>
      <w:proofErr w:type="spellStart"/>
      <w:r w:rsidRPr="00C90D89">
        <w:rPr>
          <w:rFonts w:ascii="Times New Roman" w:hAnsi="Times New Roman" w:cs="Times New Roman"/>
        </w:rPr>
        <w:t>Justen</w:t>
      </w:r>
      <w:proofErr w:type="spellEnd"/>
      <w:r w:rsidRPr="00C90D89">
        <w:rPr>
          <w:rFonts w:ascii="Times New Roman" w:hAnsi="Times New Roman" w:cs="Times New Roman"/>
        </w:rPr>
        <w:t xml:space="preserve"> Filho</w:t>
      </w:r>
      <w:r w:rsidR="002C5356">
        <w:rPr>
          <w:rFonts w:ascii="Times New Roman" w:hAnsi="Times New Roman" w:cs="Times New Roman"/>
        </w:rPr>
        <w:t>:</w:t>
      </w:r>
    </w:p>
    <w:p w14:paraId="4106D914" w14:textId="77777777" w:rsidR="003E57E1" w:rsidRPr="00C90D89" w:rsidRDefault="003E57E1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B358FE0" w14:textId="75F4D6C3" w:rsidR="003E57E1" w:rsidRPr="00C90D89" w:rsidRDefault="003E57E1" w:rsidP="003E57E1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 equação econômico-financeira é a relação entre encargos e vantagens assumidas pelas partes do contrato administrativo, estabelecida por ocasião da contratação, e que deverá ser preservada ao longo da execução do contrato.</w:t>
      </w:r>
      <w:r w:rsidRPr="00C90D89">
        <w:rPr>
          <w:rStyle w:val="FootnoteReference"/>
          <w:rFonts w:ascii="Times New Roman" w:hAnsi="Times New Roman" w:cs="Times New Roman"/>
          <w:sz w:val="22"/>
          <w:szCs w:val="22"/>
        </w:rPr>
        <w:footnoteReference w:id="15"/>
      </w:r>
    </w:p>
    <w:p w14:paraId="5F087E81" w14:textId="77777777" w:rsidR="003E57E1" w:rsidRPr="00C90D89" w:rsidRDefault="003E57E1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08BA803" w14:textId="1C96F5C7" w:rsidR="00031EAE" w:rsidRPr="00C90D89" w:rsidRDefault="0025544D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No caso em tela,</w:t>
      </w:r>
      <w:r w:rsidR="00C91246" w:rsidRPr="00C90D89">
        <w:rPr>
          <w:rFonts w:ascii="Times New Roman" w:hAnsi="Times New Roman" w:cs="Times New Roman"/>
        </w:rPr>
        <w:t xml:space="preserve"> em análise do contrato de concessão e distribuição de energia com a concessionária ré (doc. </w:t>
      </w:r>
      <w:r w:rsidR="00C91246" w:rsidRPr="00C90D89">
        <w:rPr>
          <w:rFonts w:ascii="Times New Roman" w:hAnsi="Times New Roman" w:cs="Times New Roman"/>
          <w:color w:val="FF0000"/>
        </w:rPr>
        <w:t>XX</w:t>
      </w:r>
      <w:r w:rsidR="00C91246" w:rsidRPr="00C90D89">
        <w:rPr>
          <w:rFonts w:ascii="Times New Roman" w:hAnsi="Times New Roman" w:cs="Times New Roman"/>
        </w:rPr>
        <w:t xml:space="preserve">), </w:t>
      </w:r>
      <w:r w:rsidR="002C5356" w:rsidRPr="00C90D89">
        <w:rPr>
          <w:rFonts w:ascii="Times New Roman" w:hAnsi="Times New Roman" w:cs="Times New Roman"/>
        </w:rPr>
        <w:t>verifica-se</w:t>
      </w:r>
      <w:r w:rsidR="002C5356">
        <w:rPr>
          <w:rFonts w:ascii="Times New Roman" w:hAnsi="Times New Roman" w:cs="Times New Roman"/>
        </w:rPr>
        <w:t xml:space="preserve"> </w:t>
      </w:r>
      <w:r w:rsidR="00C91246" w:rsidRPr="00C90D89">
        <w:rPr>
          <w:rFonts w:ascii="Times New Roman" w:hAnsi="Times New Roman" w:cs="Times New Roman"/>
        </w:rPr>
        <w:t>que o serviço de iluminação pública está presente nesse contrato como sua obrigação, mais precisamente no</w:t>
      </w:r>
      <w:r w:rsidR="002C5356">
        <w:rPr>
          <w:rFonts w:ascii="Times New Roman" w:hAnsi="Times New Roman" w:cs="Times New Roman"/>
        </w:rPr>
        <w:t xml:space="preserve"> seu</w:t>
      </w:r>
      <w:r w:rsidR="00C91246" w:rsidRPr="00C90D89">
        <w:rPr>
          <w:rFonts w:ascii="Times New Roman" w:hAnsi="Times New Roman" w:cs="Times New Roman"/>
        </w:rPr>
        <w:t xml:space="preserve"> </w:t>
      </w:r>
      <w:r w:rsidR="00C91246" w:rsidRPr="00C90D89">
        <w:rPr>
          <w:rFonts w:ascii="Times New Roman" w:hAnsi="Times New Roman" w:cs="Times New Roman"/>
          <w:color w:val="FF0000"/>
        </w:rPr>
        <w:t xml:space="preserve">ANEXO X, </w:t>
      </w:r>
      <w:r w:rsidR="00031EAE" w:rsidRPr="00C90D89">
        <w:rPr>
          <w:rFonts w:ascii="Times New Roman" w:hAnsi="Times New Roman" w:cs="Times New Roman"/>
          <w:color w:val="FF0000"/>
        </w:rPr>
        <w:t>o qual fornece as tarifas convencionais de iluminação pública, intituladas “B4”, discriminadas como “rede de distribuição” e “bulbo da lâmpada”</w:t>
      </w:r>
      <w:r w:rsidR="00C91246" w:rsidRPr="00C90D89">
        <w:rPr>
          <w:rFonts w:ascii="Times New Roman" w:hAnsi="Times New Roman" w:cs="Times New Roman"/>
        </w:rPr>
        <w:t xml:space="preserve">. Sendo assim, pode-se concluir que a iluminação pública é parte integrante daquela equação </w:t>
      </w:r>
      <w:r w:rsidR="009D3657">
        <w:rPr>
          <w:rFonts w:ascii="Times New Roman" w:hAnsi="Times New Roman" w:cs="Times New Roman"/>
        </w:rPr>
        <w:t xml:space="preserve">econômica </w:t>
      </w:r>
      <w:r w:rsidR="00C91246" w:rsidRPr="00C90D89">
        <w:rPr>
          <w:rFonts w:ascii="Times New Roman" w:hAnsi="Times New Roman" w:cs="Times New Roman"/>
        </w:rPr>
        <w:t xml:space="preserve">que não pode ser modificada. </w:t>
      </w:r>
      <w:r w:rsidR="00031EAE" w:rsidRPr="00C90D89">
        <w:rPr>
          <w:rFonts w:ascii="Times New Roman" w:hAnsi="Times New Roman" w:cs="Times New Roman"/>
        </w:rPr>
        <w:t>Por conseguinte, o serviço de iluminação pública (compreendendo, evidentemente, suas instalações), é</w:t>
      </w:r>
      <w:r w:rsidR="00C91246" w:rsidRPr="00C90D89">
        <w:rPr>
          <w:rFonts w:ascii="Times New Roman" w:hAnsi="Times New Roman" w:cs="Times New Roman"/>
        </w:rPr>
        <w:t xml:space="preserve"> uma obrigação contratual da concessionária de energia, da qual não pode, agora – depois d</w:t>
      </w:r>
      <w:r w:rsidR="00031EAE" w:rsidRPr="00C90D89">
        <w:rPr>
          <w:rFonts w:ascii="Times New Roman" w:hAnsi="Times New Roman" w:cs="Times New Roman"/>
        </w:rPr>
        <w:t>e assinado o</w:t>
      </w:r>
      <w:r w:rsidR="00C91246" w:rsidRPr="00C90D89">
        <w:rPr>
          <w:rFonts w:ascii="Times New Roman" w:hAnsi="Times New Roman" w:cs="Times New Roman"/>
        </w:rPr>
        <w:t xml:space="preserve"> contrato –</w:t>
      </w:r>
      <w:r w:rsidR="009D3657">
        <w:rPr>
          <w:rFonts w:ascii="Times New Roman" w:hAnsi="Times New Roman" w:cs="Times New Roman"/>
        </w:rPr>
        <w:t>,</w:t>
      </w:r>
      <w:r w:rsidR="00C91246" w:rsidRPr="00C90D89">
        <w:rPr>
          <w:rFonts w:ascii="Times New Roman" w:hAnsi="Times New Roman" w:cs="Times New Roman"/>
        </w:rPr>
        <w:t xml:space="preserve"> se esquivar. Esquiva, aliás, que </w:t>
      </w:r>
      <w:r w:rsidR="00031EAE" w:rsidRPr="00C90D89">
        <w:rPr>
          <w:rFonts w:ascii="Times New Roman" w:hAnsi="Times New Roman" w:cs="Times New Roman"/>
        </w:rPr>
        <w:t>pretende realizar em lesão</w:t>
      </w:r>
      <w:r w:rsidR="00C91246" w:rsidRPr="00C90D89">
        <w:rPr>
          <w:rFonts w:ascii="Times New Roman" w:hAnsi="Times New Roman" w:cs="Times New Roman"/>
        </w:rPr>
        <w:t xml:space="preserve"> </w:t>
      </w:r>
      <w:r w:rsidR="00031EAE" w:rsidRPr="00C90D89">
        <w:rPr>
          <w:rFonts w:ascii="Times New Roman" w:hAnsi="Times New Roman" w:cs="Times New Roman"/>
        </w:rPr>
        <w:t>ao Erário</w:t>
      </w:r>
      <w:r w:rsidR="00C91246" w:rsidRPr="00C90D89">
        <w:rPr>
          <w:rFonts w:ascii="Times New Roman" w:hAnsi="Times New Roman" w:cs="Times New Roman"/>
        </w:rPr>
        <w:t>.</w:t>
      </w:r>
      <w:r w:rsidR="00031EAE" w:rsidRPr="00C90D89">
        <w:rPr>
          <w:rFonts w:ascii="Times New Roman" w:hAnsi="Times New Roman" w:cs="Times New Roman"/>
        </w:rPr>
        <w:t xml:space="preserve"> </w:t>
      </w:r>
    </w:p>
    <w:p w14:paraId="2DF566D8" w14:textId="77777777" w:rsidR="00031EAE" w:rsidRPr="00C90D89" w:rsidRDefault="00031EAE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FDA5C61" w14:textId="5299C1E4" w:rsidR="0025544D" w:rsidRPr="00C90D89" w:rsidRDefault="00651312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Além de inconstitucional, a transferência de ativos</w:t>
      </w:r>
      <w:r w:rsidR="00031EAE"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pelos motivos expostos, contempla </w:t>
      </w:r>
      <w:r w:rsidR="00031EAE" w:rsidRPr="00C90D89">
        <w:rPr>
          <w:rFonts w:ascii="Times New Roman" w:hAnsi="Times New Roman" w:cs="Times New Roman"/>
        </w:rPr>
        <w:t>uma ilegalidade</w:t>
      </w:r>
      <w:r w:rsidRPr="00C90D89">
        <w:rPr>
          <w:rFonts w:ascii="Times New Roman" w:hAnsi="Times New Roman" w:cs="Times New Roman"/>
        </w:rPr>
        <w:t xml:space="preserve"> quando se a analisa sob a perspectiva da contratação pública operada entre a União e a concessionária ré</w:t>
      </w:r>
      <w:r w:rsidR="00031EAE" w:rsidRPr="00C90D89">
        <w:rPr>
          <w:rFonts w:ascii="Times New Roman" w:hAnsi="Times New Roman" w:cs="Times New Roman"/>
        </w:rPr>
        <w:t xml:space="preserve">, e como tal, </w:t>
      </w:r>
      <w:r w:rsidRPr="00C90D89">
        <w:rPr>
          <w:rFonts w:ascii="Times New Roman" w:hAnsi="Times New Roman" w:cs="Times New Roman"/>
        </w:rPr>
        <w:t xml:space="preserve">a ilegalidade </w:t>
      </w:r>
      <w:r w:rsidR="00031EAE" w:rsidRPr="00C90D89">
        <w:rPr>
          <w:rFonts w:ascii="Times New Roman" w:hAnsi="Times New Roman" w:cs="Times New Roman"/>
        </w:rPr>
        <w:t xml:space="preserve">também </w:t>
      </w:r>
      <w:r w:rsidRPr="00C90D89">
        <w:rPr>
          <w:rFonts w:ascii="Times New Roman" w:hAnsi="Times New Roman" w:cs="Times New Roman"/>
        </w:rPr>
        <w:t>inquin</w:t>
      </w:r>
      <w:r w:rsidR="00031EAE" w:rsidRPr="00C90D89">
        <w:rPr>
          <w:rFonts w:ascii="Times New Roman" w:hAnsi="Times New Roman" w:cs="Times New Roman"/>
        </w:rPr>
        <w:t xml:space="preserve">a </w:t>
      </w:r>
      <w:r w:rsidRPr="00C90D89">
        <w:rPr>
          <w:rFonts w:ascii="Times New Roman" w:hAnsi="Times New Roman" w:cs="Times New Roman"/>
        </w:rPr>
        <w:t xml:space="preserve">a </w:t>
      </w:r>
      <w:r w:rsidR="00031EAE" w:rsidRPr="00C90D89">
        <w:rPr>
          <w:rFonts w:ascii="Times New Roman" w:hAnsi="Times New Roman" w:cs="Times New Roman"/>
        </w:rPr>
        <w:t>Resolução Normativa n. 414/2010</w:t>
      </w:r>
      <w:r w:rsidRPr="00C90D89">
        <w:rPr>
          <w:rFonts w:ascii="Times New Roman" w:hAnsi="Times New Roman" w:cs="Times New Roman"/>
        </w:rPr>
        <w:t xml:space="preserve"> à necessária invalidação</w:t>
      </w:r>
      <w:r w:rsidR="00031EAE" w:rsidRPr="00C90D89">
        <w:rPr>
          <w:rFonts w:ascii="Times New Roman" w:hAnsi="Times New Roman" w:cs="Times New Roman"/>
        </w:rPr>
        <w:t xml:space="preserve">. </w:t>
      </w:r>
    </w:p>
    <w:p w14:paraId="7B4EFD8C" w14:textId="77777777" w:rsidR="00397FA6" w:rsidRPr="00C90D89" w:rsidRDefault="00397FA6" w:rsidP="00397F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334D3BE" w14:textId="6C1127C1" w:rsidR="00497CDD" w:rsidRPr="00C90D89" w:rsidRDefault="00D9454E" w:rsidP="00D9454E">
      <w:pPr>
        <w:pStyle w:val="NormalWeb"/>
        <w:spacing w:before="0" w:after="0" w:line="360" w:lineRule="auto"/>
        <w:rPr>
          <w:rFonts w:ascii="Times New Roman" w:hAnsi="Times New Roman" w:cs="Times New Roman"/>
          <w:bCs/>
          <w:u w:val="single"/>
        </w:rPr>
      </w:pPr>
      <w:r w:rsidRPr="00C90D89">
        <w:rPr>
          <w:rFonts w:ascii="Times New Roman" w:hAnsi="Times New Roman" w:cs="Times New Roman"/>
          <w:bCs/>
          <w:u w:val="single"/>
        </w:rPr>
        <w:t>2.</w:t>
      </w:r>
      <w:r w:rsidR="00497CDD" w:rsidRPr="00C90D89">
        <w:rPr>
          <w:rFonts w:ascii="Times New Roman" w:hAnsi="Times New Roman" w:cs="Times New Roman"/>
          <w:bCs/>
          <w:u w:val="single"/>
        </w:rPr>
        <w:t>2</w:t>
      </w:r>
      <w:r w:rsidRPr="00C90D89">
        <w:rPr>
          <w:rFonts w:ascii="Times New Roman" w:hAnsi="Times New Roman" w:cs="Times New Roman"/>
          <w:bCs/>
          <w:u w:val="single"/>
        </w:rPr>
        <w:t xml:space="preserve">. Da pretensão mandamental: </w:t>
      </w:r>
      <w:r w:rsidR="00497CDD" w:rsidRPr="00C90D89">
        <w:rPr>
          <w:rFonts w:ascii="Times New Roman" w:hAnsi="Times New Roman" w:cs="Times New Roman"/>
          <w:bCs/>
          <w:u w:val="single"/>
        </w:rPr>
        <w:t>obrigação de não fazer</w:t>
      </w:r>
    </w:p>
    <w:p w14:paraId="3CC5A326" w14:textId="77777777" w:rsidR="00497CDD" w:rsidRPr="00C90D89" w:rsidRDefault="00497CDD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6E557A3" w14:textId="29FF83F8" w:rsidR="00B9284F" w:rsidRDefault="00BF75C8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B9284F">
        <w:rPr>
          <w:rFonts w:ascii="Times New Roman" w:hAnsi="Times New Roman" w:cs="Times New Roman"/>
          <w:bCs/>
        </w:rPr>
        <w:t>A</w:t>
      </w:r>
      <w:r w:rsidR="005610C6" w:rsidRPr="00B9284F">
        <w:rPr>
          <w:rFonts w:ascii="Times New Roman" w:hAnsi="Times New Roman" w:cs="Times New Roman"/>
          <w:bCs/>
        </w:rPr>
        <w:t xml:space="preserve"> pretensão declaratória</w:t>
      </w:r>
      <w:r w:rsidRPr="00B9284F">
        <w:rPr>
          <w:rFonts w:ascii="Times New Roman" w:hAnsi="Times New Roman" w:cs="Times New Roman"/>
          <w:bCs/>
        </w:rPr>
        <w:t xml:space="preserve"> (item 2.1), onde se</w:t>
      </w:r>
      <w:r w:rsidR="005610C6" w:rsidRPr="00B9284F">
        <w:rPr>
          <w:rFonts w:ascii="Times New Roman" w:hAnsi="Times New Roman" w:cs="Times New Roman"/>
          <w:bCs/>
        </w:rPr>
        <w:t xml:space="preserve"> </w:t>
      </w:r>
      <w:r w:rsidRPr="00B9284F">
        <w:rPr>
          <w:rFonts w:ascii="Times New Roman" w:hAnsi="Times New Roman" w:cs="Times New Roman"/>
          <w:bCs/>
        </w:rPr>
        <w:t>encontram os argumentos de invalidade, encerra o esteio</w:t>
      </w:r>
      <w:r w:rsidR="005610C6" w:rsidRPr="00B9284F">
        <w:rPr>
          <w:rFonts w:ascii="Times New Roman" w:hAnsi="Times New Roman" w:cs="Times New Roman"/>
          <w:bCs/>
        </w:rPr>
        <w:t xml:space="preserve"> da presente ação. Isso porque é da declaração</w:t>
      </w:r>
      <w:r w:rsidRPr="00B9284F">
        <w:rPr>
          <w:rFonts w:ascii="Times New Roman" w:hAnsi="Times New Roman" w:cs="Times New Roman"/>
          <w:bCs/>
        </w:rPr>
        <w:t xml:space="preserve"> de invalidade d</w:t>
      </w:r>
      <w:r w:rsidR="00B9284F">
        <w:rPr>
          <w:rFonts w:ascii="Times New Roman" w:hAnsi="Times New Roman" w:cs="Times New Roman"/>
          <w:bCs/>
        </w:rPr>
        <w:t>os dispositivos</w:t>
      </w:r>
      <w:r w:rsidR="00DD63A8">
        <w:rPr>
          <w:rFonts w:ascii="Times New Roman" w:hAnsi="Times New Roman" w:cs="Times New Roman"/>
          <w:bCs/>
        </w:rPr>
        <w:t xml:space="preserve"> citados d</w:t>
      </w:r>
      <w:r w:rsidRPr="00B9284F">
        <w:rPr>
          <w:rFonts w:ascii="Times New Roman" w:hAnsi="Times New Roman" w:cs="Times New Roman"/>
          <w:bCs/>
        </w:rPr>
        <w:t>a Resolução Normativa n. 414/2010 (relacionada à declaração</w:t>
      </w:r>
      <w:r w:rsidR="005610C6" w:rsidRPr="00B9284F">
        <w:rPr>
          <w:rFonts w:ascii="Times New Roman" w:hAnsi="Times New Roman" w:cs="Times New Roman"/>
          <w:bCs/>
        </w:rPr>
        <w:t xml:space="preserve"> </w:t>
      </w:r>
      <w:r w:rsidRPr="00B9284F">
        <w:rPr>
          <w:rFonts w:ascii="Times New Roman" w:hAnsi="Times New Roman" w:cs="Times New Roman"/>
          <w:bCs/>
        </w:rPr>
        <w:t>incidental de inconstitucionalidade da mesma e da declaração de sua ilegalidade)</w:t>
      </w:r>
      <w:r w:rsidR="00DD63A8">
        <w:rPr>
          <w:rFonts w:ascii="Times New Roman" w:hAnsi="Times New Roman" w:cs="Times New Roman"/>
          <w:bCs/>
        </w:rPr>
        <w:t>, especialmente do seu art. 218,</w:t>
      </w:r>
      <w:r w:rsidR="005610C6" w:rsidRPr="00B9284F">
        <w:rPr>
          <w:rFonts w:ascii="Times New Roman" w:hAnsi="Times New Roman" w:cs="Times New Roman"/>
          <w:bCs/>
        </w:rPr>
        <w:t xml:space="preserve"> que se segue</w:t>
      </w:r>
      <w:r w:rsidRPr="00B9284F">
        <w:rPr>
          <w:rFonts w:ascii="Times New Roman" w:hAnsi="Times New Roman" w:cs="Times New Roman"/>
          <w:bCs/>
        </w:rPr>
        <w:t xml:space="preserve"> </w:t>
      </w:r>
      <w:r w:rsidR="00DD63A8">
        <w:rPr>
          <w:rFonts w:ascii="Times New Roman" w:hAnsi="Times New Roman" w:cs="Times New Roman"/>
          <w:bCs/>
        </w:rPr>
        <w:t>natural a</w:t>
      </w:r>
      <w:r w:rsidR="005610C6" w:rsidRPr="00B9284F">
        <w:rPr>
          <w:rFonts w:ascii="Times New Roman" w:hAnsi="Times New Roman" w:cs="Times New Roman"/>
          <w:bCs/>
        </w:rPr>
        <w:t xml:space="preserve"> </w:t>
      </w:r>
      <w:r w:rsidR="00DD63A8">
        <w:rPr>
          <w:rFonts w:ascii="Times New Roman" w:hAnsi="Times New Roman" w:cs="Times New Roman"/>
          <w:bCs/>
        </w:rPr>
        <w:t xml:space="preserve">pretensão </w:t>
      </w:r>
      <w:r w:rsidR="005610C6" w:rsidRPr="00B9284F">
        <w:rPr>
          <w:rFonts w:ascii="Times New Roman" w:hAnsi="Times New Roman" w:cs="Times New Roman"/>
          <w:bCs/>
        </w:rPr>
        <w:t>mandamental.</w:t>
      </w:r>
    </w:p>
    <w:p w14:paraId="1C60219E" w14:textId="77777777" w:rsidR="00B9284F" w:rsidRDefault="00B9284F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A3E4D61" w14:textId="046430BC" w:rsidR="005610C6" w:rsidRDefault="00BC24AC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DD63A8">
        <w:rPr>
          <w:rFonts w:ascii="Times New Roman" w:hAnsi="Times New Roman" w:cs="Times New Roman"/>
          <w:bCs/>
        </w:rPr>
        <w:t xml:space="preserve"> pretensão mandamental</w:t>
      </w:r>
      <w:r>
        <w:rPr>
          <w:rFonts w:ascii="Times New Roman" w:hAnsi="Times New Roman" w:cs="Times New Roman"/>
          <w:bCs/>
        </w:rPr>
        <w:t xml:space="preserve"> não é senão </w:t>
      </w:r>
      <w:r w:rsidR="00DD63A8">
        <w:rPr>
          <w:rFonts w:ascii="Times New Roman" w:hAnsi="Times New Roman" w:cs="Times New Roman"/>
          <w:bCs/>
        </w:rPr>
        <w:t>corolário lógico</w:t>
      </w:r>
      <w:r>
        <w:rPr>
          <w:rFonts w:ascii="Times New Roman" w:hAnsi="Times New Roman" w:cs="Times New Roman"/>
          <w:bCs/>
        </w:rPr>
        <w:t xml:space="preserve"> da pretensão declaratória</w:t>
      </w:r>
      <w:r w:rsidR="00DD63A8">
        <w:rPr>
          <w:rFonts w:ascii="Times New Roman" w:hAnsi="Times New Roman" w:cs="Times New Roman"/>
          <w:bCs/>
        </w:rPr>
        <w:t>. I</w:t>
      </w:r>
      <w:r w:rsidR="00B9284F">
        <w:rPr>
          <w:rFonts w:ascii="Times New Roman" w:hAnsi="Times New Roman" w:cs="Times New Roman"/>
          <w:bCs/>
        </w:rPr>
        <w:t>nvalidad</w:t>
      </w:r>
      <w:r w:rsidR="00DD63A8">
        <w:rPr>
          <w:rFonts w:ascii="Times New Roman" w:hAnsi="Times New Roman" w:cs="Times New Roman"/>
          <w:bCs/>
        </w:rPr>
        <w:t>os os dispositivos, as obrigações dele decorrentes são, naturalmente, também invalidadas. Assim, caso a transferência dos ativos imobilizados em serviço (AIS) já tenha</w:t>
      </w:r>
      <w:r w:rsidR="00026CB2">
        <w:rPr>
          <w:rFonts w:ascii="Times New Roman" w:hAnsi="Times New Roman" w:cs="Times New Roman"/>
          <w:bCs/>
        </w:rPr>
        <w:t>m, por força da resolução normativa,</w:t>
      </w:r>
      <w:r w:rsidR="00DD63A8">
        <w:rPr>
          <w:rFonts w:ascii="Times New Roman" w:hAnsi="Times New Roman" w:cs="Times New Roman"/>
          <w:bCs/>
        </w:rPr>
        <w:t xml:space="preserve"> ocorrido</w:t>
      </w:r>
      <w:r w:rsidR="00026CB2">
        <w:rPr>
          <w:rFonts w:ascii="Times New Roman" w:hAnsi="Times New Roman" w:cs="Times New Roman"/>
          <w:bCs/>
        </w:rPr>
        <w:t>,</w:t>
      </w:r>
      <w:r w:rsidR="00DD63A8">
        <w:rPr>
          <w:rFonts w:ascii="Times New Roman" w:hAnsi="Times New Roman" w:cs="Times New Roman"/>
          <w:bCs/>
        </w:rPr>
        <w:t xml:space="preserve"> se 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deve</w:t>
      </w:r>
      <w:r w:rsidR="00026CB2">
        <w:rPr>
          <w:rFonts w:ascii="Times New Roman" w:hAnsi="Times New Roman" w:cs="Times New Roman"/>
          <w:bCs/>
        </w:rPr>
        <w:t>m</w:t>
      </w:r>
      <w:r w:rsidR="00DD63A8">
        <w:rPr>
          <w:rFonts w:ascii="Times New Roman" w:hAnsi="Times New Roman" w:cs="Times New Roman"/>
          <w:bCs/>
        </w:rPr>
        <w:t xml:space="preserve"> desfazer; caso 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transferência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dos ativos ainda não tenha</w:t>
      </w:r>
      <w:r w:rsidR="00026CB2">
        <w:rPr>
          <w:rFonts w:ascii="Times New Roman" w:hAnsi="Times New Roman" w:cs="Times New Roman"/>
          <w:bCs/>
        </w:rPr>
        <w:t>m</w:t>
      </w:r>
      <w:r w:rsidR="00DD63A8">
        <w:rPr>
          <w:rFonts w:ascii="Times New Roman" w:hAnsi="Times New Roman" w:cs="Times New Roman"/>
          <w:bCs/>
        </w:rPr>
        <w:t xml:space="preserve"> ocorrido – mas haja ação por parte de uma ou de ambas as rés para a operacionalizar –, se 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deve</w:t>
      </w:r>
      <w:r w:rsidR="00026CB2">
        <w:rPr>
          <w:rFonts w:ascii="Times New Roman" w:hAnsi="Times New Roman" w:cs="Times New Roman"/>
          <w:bCs/>
        </w:rPr>
        <w:t>m obstar</w:t>
      </w:r>
      <w:r w:rsidR="00DD63A8">
        <w:rPr>
          <w:rFonts w:ascii="Times New Roman" w:hAnsi="Times New Roman" w:cs="Times New Roman"/>
          <w:bCs/>
        </w:rPr>
        <w:t>. O primeiro caso sustenta-se</w:t>
      </w:r>
      <w:r w:rsidR="00026CB2">
        <w:rPr>
          <w:rFonts w:ascii="Times New Roman" w:hAnsi="Times New Roman" w:cs="Times New Roman"/>
          <w:bCs/>
        </w:rPr>
        <w:t xml:space="preserve"> </w:t>
      </w:r>
      <w:r w:rsidR="00DD63A8">
        <w:rPr>
          <w:rFonts w:ascii="Times New Roman" w:hAnsi="Times New Roman" w:cs="Times New Roman"/>
          <w:bCs/>
        </w:rPr>
        <w:t xml:space="preserve">em uma obrigação de fazer; o segundo, em uma obrigação de não fazer. Ambas enquadram natureza mandamental. </w:t>
      </w:r>
    </w:p>
    <w:p w14:paraId="37B2E05F" w14:textId="77777777" w:rsidR="00FE7967" w:rsidRDefault="00FE7967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6456657D" w14:textId="3721B494" w:rsidR="00FE7967" w:rsidRPr="00B9284F" w:rsidRDefault="00FE7967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 caso em tela, </w:t>
      </w:r>
      <w:r w:rsidR="006B699B">
        <w:rPr>
          <w:rFonts w:ascii="Times New Roman" w:hAnsi="Times New Roman" w:cs="Times New Roman"/>
          <w:bCs/>
        </w:rPr>
        <w:t xml:space="preserve">está-se diante do segundo caso. Embora a transferência não tenha sido realizada, </w:t>
      </w:r>
      <w:r w:rsidR="006B699B" w:rsidRPr="006B699B">
        <w:rPr>
          <w:rFonts w:ascii="Times New Roman" w:hAnsi="Times New Roman" w:cs="Times New Roman"/>
          <w:bCs/>
          <w:color w:val="FF0000"/>
        </w:rPr>
        <w:t>há, como se referiu na síntese dos fatos, movimento das rés</w:t>
      </w:r>
      <w:r w:rsidR="00E20D20">
        <w:rPr>
          <w:rFonts w:ascii="Times New Roman" w:hAnsi="Times New Roman" w:cs="Times New Roman"/>
          <w:bCs/>
          <w:color w:val="FF0000"/>
        </w:rPr>
        <w:t xml:space="preserve"> nesse sentido, o que demonstra</w:t>
      </w:r>
      <w:r w:rsidR="006B699B" w:rsidRPr="006B699B">
        <w:rPr>
          <w:rFonts w:ascii="Times New Roman" w:hAnsi="Times New Roman" w:cs="Times New Roman"/>
          <w:bCs/>
          <w:color w:val="FF0000"/>
        </w:rPr>
        <w:t>... (relatar os atos de uma ou ambas as rés para a operacionalização da transferência).</w:t>
      </w:r>
    </w:p>
    <w:p w14:paraId="132B48AD" w14:textId="77777777" w:rsidR="005610C6" w:rsidRPr="00A32629" w:rsidRDefault="005610C6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5B5129EF" w14:textId="77777777" w:rsidR="00B63023" w:rsidRDefault="00591E06" w:rsidP="00A3262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A32629">
        <w:rPr>
          <w:rFonts w:ascii="Times New Roman" w:hAnsi="Times New Roman" w:cs="Times New Roman"/>
        </w:rPr>
        <w:t xml:space="preserve">Busca-se, assim, provimento judicial </w:t>
      </w:r>
      <w:r w:rsidR="00A32629" w:rsidRPr="00A32629">
        <w:rPr>
          <w:rFonts w:ascii="Times New Roman" w:hAnsi="Times New Roman" w:cs="Times New Roman"/>
        </w:rPr>
        <w:t xml:space="preserve">no sentido de </w:t>
      </w:r>
      <w:r w:rsidR="00A32629">
        <w:rPr>
          <w:rFonts w:ascii="Times New Roman" w:hAnsi="Times New Roman" w:cs="Times New Roman"/>
        </w:rPr>
        <w:t xml:space="preserve">desobrigar </w:t>
      </w:r>
      <w:r w:rsidR="00B63023">
        <w:rPr>
          <w:rFonts w:ascii="Times New Roman" w:hAnsi="Times New Roman" w:cs="Times New Roman"/>
        </w:rPr>
        <w:t>o Município autor de receber o ativo imobilizado em serviço (bem como o serviço de iluminação pública a ele relacionado)</w:t>
      </w:r>
      <w:r w:rsidR="00A32629">
        <w:rPr>
          <w:rFonts w:ascii="Times New Roman" w:hAnsi="Times New Roman" w:cs="Times New Roman"/>
        </w:rPr>
        <w:t xml:space="preserve">, impedindo </w:t>
      </w:r>
      <w:r w:rsidR="00B63023">
        <w:rPr>
          <w:rFonts w:ascii="Times New Roman" w:hAnsi="Times New Roman" w:cs="Times New Roman"/>
        </w:rPr>
        <w:t xml:space="preserve">que se dê </w:t>
      </w:r>
      <w:r w:rsidR="00A32629">
        <w:rPr>
          <w:rFonts w:ascii="Times New Roman" w:hAnsi="Times New Roman" w:cs="Times New Roman"/>
        </w:rPr>
        <w:t>a transferência antijurídica</w:t>
      </w:r>
      <w:r w:rsidR="00B63023">
        <w:rPr>
          <w:rFonts w:ascii="Times New Roman" w:hAnsi="Times New Roman" w:cs="Times New Roman"/>
        </w:rPr>
        <w:t>. Essa busca encontra fundamento legal nos argumentos aqui já expendidos combinados à</w:t>
      </w:r>
      <w:r w:rsidR="00A32629" w:rsidRPr="00A32629">
        <w:rPr>
          <w:rFonts w:ascii="Times New Roman" w:hAnsi="Times New Roman" w:cs="Times New Roman"/>
        </w:rPr>
        <w:t xml:space="preserve"> discipli</w:t>
      </w:r>
      <w:r w:rsidR="00A32629">
        <w:rPr>
          <w:rFonts w:ascii="Times New Roman" w:hAnsi="Times New Roman" w:cs="Times New Roman"/>
        </w:rPr>
        <w:t xml:space="preserve">na do art. 461, </w:t>
      </w:r>
      <w:r w:rsidR="00A32629" w:rsidRPr="00B63023">
        <w:rPr>
          <w:rFonts w:ascii="Times New Roman" w:hAnsi="Times New Roman" w:cs="Times New Roman"/>
          <w:i/>
        </w:rPr>
        <w:t>caput</w:t>
      </w:r>
      <w:r w:rsidR="00A32629">
        <w:rPr>
          <w:rFonts w:ascii="Times New Roman" w:hAnsi="Times New Roman" w:cs="Times New Roman"/>
        </w:rPr>
        <w:t>, do CPC</w:t>
      </w:r>
      <w:r w:rsidR="00B63023">
        <w:rPr>
          <w:rFonts w:ascii="Times New Roman" w:hAnsi="Times New Roman" w:cs="Times New Roman"/>
        </w:rPr>
        <w:t>, que prescreve</w:t>
      </w:r>
      <w:r w:rsidR="00A32629">
        <w:rPr>
          <w:rFonts w:ascii="Times New Roman" w:hAnsi="Times New Roman" w:cs="Times New Roman"/>
        </w:rPr>
        <w:t>: “</w:t>
      </w:r>
      <w:r w:rsidR="00A32629" w:rsidRPr="00A32629">
        <w:rPr>
          <w:rFonts w:ascii="Times New Roman" w:hAnsi="Times New Roman" w:cs="Times New Roman"/>
          <w:i/>
        </w:rPr>
        <w:t>Na ação que tenha por objeto o cumprimento de obrigação de fazer ou não fazer, o juiz concederá a tutela específica da obrigação ou, se procedente o pedido, determinará providências que assegurem o resultado prático equivalente ao do adimplemento.</w:t>
      </w:r>
      <w:r w:rsidR="00A32629">
        <w:rPr>
          <w:rFonts w:ascii="Times New Roman" w:hAnsi="Times New Roman" w:cs="Times New Roman"/>
        </w:rPr>
        <w:t xml:space="preserve">” </w:t>
      </w:r>
    </w:p>
    <w:p w14:paraId="6D72575F" w14:textId="77777777" w:rsidR="00B63023" w:rsidRDefault="00B63023" w:rsidP="00A3262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5B149A51" w14:textId="53C2A64A" w:rsidR="00D9454E" w:rsidRPr="00A32629" w:rsidRDefault="00A32629" w:rsidP="00A3262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A32629">
        <w:rPr>
          <w:rFonts w:ascii="Times New Roman" w:hAnsi="Times New Roman" w:cs="Times New Roman"/>
          <w:i/>
        </w:rPr>
        <w:t xml:space="preserve">In </w:t>
      </w:r>
      <w:proofErr w:type="spellStart"/>
      <w:r w:rsidRPr="00A32629">
        <w:rPr>
          <w:rFonts w:ascii="Times New Roman" w:hAnsi="Times New Roman" w:cs="Times New Roman"/>
          <w:i/>
        </w:rPr>
        <w:t>casu</w:t>
      </w:r>
      <w:proofErr w:type="spellEnd"/>
      <w:r w:rsidRPr="00A32629">
        <w:rPr>
          <w:rFonts w:ascii="Times New Roman" w:hAnsi="Times New Roman" w:cs="Times New Roman"/>
        </w:rPr>
        <w:t xml:space="preserve">, quer-se, especificamente, que os réus </w:t>
      </w:r>
      <w:r w:rsidR="00497CDD" w:rsidRPr="00A32629">
        <w:rPr>
          <w:rFonts w:ascii="Times New Roman" w:hAnsi="Times New Roman" w:cs="Times New Roman"/>
        </w:rPr>
        <w:t>abste</w:t>
      </w:r>
      <w:r w:rsidRPr="00A32629">
        <w:rPr>
          <w:rFonts w:ascii="Times New Roman" w:hAnsi="Times New Roman" w:cs="Times New Roman"/>
        </w:rPr>
        <w:t>nham</w:t>
      </w:r>
      <w:r w:rsidR="00497CDD" w:rsidRPr="00A32629">
        <w:rPr>
          <w:rFonts w:ascii="Times New Roman" w:hAnsi="Times New Roman" w:cs="Times New Roman"/>
        </w:rPr>
        <w:t xml:space="preserve">-se de </w:t>
      </w:r>
      <w:r w:rsidR="00B63023">
        <w:rPr>
          <w:rFonts w:ascii="Times New Roman" w:hAnsi="Times New Roman" w:cs="Times New Roman"/>
        </w:rPr>
        <w:t xml:space="preserve">quaisquer atos tendentes a </w:t>
      </w:r>
      <w:r w:rsidR="00497CDD" w:rsidRPr="00A32629">
        <w:rPr>
          <w:rFonts w:ascii="Times New Roman" w:hAnsi="Times New Roman" w:cs="Times New Roman"/>
        </w:rPr>
        <w:t>realizar</w:t>
      </w:r>
      <w:r w:rsidRPr="00A32629">
        <w:rPr>
          <w:rFonts w:ascii="Times New Roman" w:hAnsi="Times New Roman" w:cs="Times New Roman"/>
        </w:rPr>
        <w:t xml:space="preserve"> </w:t>
      </w:r>
      <w:r w:rsidR="00497CDD" w:rsidRPr="00A32629">
        <w:rPr>
          <w:rFonts w:ascii="Times New Roman" w:hAnsi="Times New Roman" w:cs="Times New Roman"/>
        </w:rPr>
        <w:t>a transferência</w:t>
      </w:r>
      <w:r w:rsidRPr="00A32629">
        <w:rPr>
          <w:rFonts w:ascii="Times New Roman" w:hAnsi="Times New Roman" w:cs="Times New Roman"/>
        </w:rPr>
        <w:t xml:space="preserve"> dos ativos imobilizados em serviço (AIS)</w:t>
      </w:r>
      <w:r w:rsidR="00B63023">
        <w:rPr>
          <w:rFonts w:ascii="Times New Roman" w:hAnsi="Times New Roman" w:cs="Times New Roman"/>
        </w:rPr>
        <w:t xml:space="preserve">. </w:t>
      </w:r>
    </w:p>
    <w:p w14:paraId="73AC0BA8" w14:textId="77777777" w:rsidR="00C90D89" w:rsidRPr="00A32629" w:rsidRDefault="00C90D89" w:rsidP="00C90D8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15EEBA3" w14:textId="4ADE3B5E" w:rsidR="00D9454E" w:rsidRPr="00C90D89" w:rsidRDefault="00D9454E" w:rsidP="00D9454E">
      <w:pPr>
        <w:pStyle w:val="NormalWeb"/>
        <w:spacing w:before="0" w:after="0" w:line="360" w:lineRule="auto"/>
        <w:rPr>
          <w:rFonts w:ascii="Times New Roman" w:hAnsi="Times New Roman" w:cs="Times New Roman"/>
          <w:bCs/>
          <w:u w:val="single"/>
        </w:rPr>
      </w:pPr>
      <w:r w:rsidRPr="00C90D89">
        <w:rPr>
          <w:rFonts w:ascii="Times New Roman" w:hAnsi="Times New Roman" w:cs="Times New Roman"/>
          <w:bCs/>
          <w:u w:val="single"/>
        </w:rPr>
        <w:t>2.</w:t>
      </w:r>
      <w:r w:rsidR="00497CDD" w:rsidRPr="00C90D89">
        <w:rPr>
          <w:rFonts w:ascii="Times New Roman" w:hAnsi="Times New Roman" w:cs="Times New Roman"/>
          <w:bCs/>
          <w:u w:val="single"/>
        </w:rPr>
        <w:t>3</w:t>
      </w:r>
      <w:r w:rsidRPr="00C90D89">
        <w:rPr>
          <w:rFonts w:ascii="Times New Roman" w:hAnsi="Times New Roman" w:cs="Times New Roman"/>
          <w:bCs/>
          <w:u w:val="single"/>
        </w:rPr>
        <w:t xml:space="preserve">. Da antecipação de tutela </w:t>
      </w:r>
    </w:p>
    <w:p w14:paraId="4A74D466" w14:textId="77777777" w:rsidR="00D9454E" w:rsidRPr="00172914" w:rsidRDefault="00D9454E" w:rsidP="00397F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16882F6" w14:textId="5960D400" w:rsidR="00F97070" w:rsidRPr="00172914" w:rsidRDefault="00F97070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172914">
        <w:rPr>
          <w:rFonts w:ascii="Times New Roman" w:hAnsi="Times New Roman" w:cs="Times New Roman"/>
        </w:rPr>
        <w:t>A tutela específica da obrigação de fazer ou não fazer, nos termos do art. 461, § 3º do CPC, pode ser antecipada, desde que haja “</w:t>
      </w:r>
      <w:r w:rsidRPr="00172914">
        <w:rPr>
          <w:rFonts w:ascii="Times New Roman" w:hAnsi="Times New Roman" w:cs="Times New Roman"/>
          <w:i/>
        </w:rPr>
        <w:t>relevante o fundamento da demanda e havendo justificado receio de ineficácia do provimento final</w:t>
      </w:r>
      <w:r w:rsidRPr="00172914">
        <w:rPr>
          <w:rFonts w:ascii="Times New Roman" w:hAnsi="Times New Roman" w:cs="Times New Roman"/>
        </w:rPr>
        <w:t xml:space="preserve">”. O art. 273, que estabelece os contornos gerais da antecipação da tutela, </w:t>
      </w:r>
      <w:r w:rsidR="007F4213">
        <w:rPr>
          <w:rFonts w:ascii="Times New Roman" w:hAnsi="Times New Roman" w:cs="Times New Roman"/>
        </w:rPr>
        <w:t>prevê</w:t>
      </w:r>
      <w:r w:rsidRPr="00172914">
        <w:rPr>
          <w:rFonts w:ascii="Times New Roman" w:hAnsi="Times New Roman" w:cs="Times New Roman"/>
        </w:rPr>
        <w:t xml:space="preserve"> requisitos semelhantes, exigindo que o juiz convença-se da verossimilhança da alegação e que haja, além desse convencimento, “</w:t>
      </w:r>
      <w:r w:rsidRPr="00172914">
        <w:rPr>
          <w:rFonts w:ascii="Times New Roman" w:hAnsi="Times New Roman" w:cs="Times New Roman"/>
          <w:i/>
        </w:rPr>
        <w:t>receio de dano irreparável ou de difícil reparação</w:t>
      </w:r>
      <w:r w:rsidRPr="00172914">
        <w:rPr>
          <w:rFonts w:ascii="Times New Roman" w:hAnsi="Times New Roman" w:cs="Times New Roman"/>
        </w:rPr>
        <w:t>”</w:t>
      </w:r>
      <w:r w:rsidR="00E81C97">
        <w:rPr>
          <w:rFonts w:ascii="Times New Roman" w:hAnsi="Times New Roman" w:cs="Times New Roman"/>
        </w:rPr>
        <w:t xml:space="preserve"> (inciso I)</w:t>
      </w:r>
      <w:r w:rsidRPr="00172914">
        <w:rPr>
          <w:rFonts w:ascii="Times New Roman" w:hAnsi="Times New Roman" w:cs="Times New Roman"/>
        </w:rPr>
        <w:t xml:space="preserve">. </w:t>
      </w:r>
    </w:p>
    <w:p w14:paraId="124FE239" w14:textId="77777777" w:rsidR="00F97070" w:rsidRPr="00172914" w:rsidRDefault="00F97070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203C30DF" w14:textId="10E0F769" w:rsidR="00CC6FF4" w:rsidRPr="00172914" w:rsidRDefault="007F4213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É assaz v</w:t>
      </w:r>
      <w:r w:rsidR="00CC6FF4" w:rsidRPr="00172914">
        <w:rPr>
          <w:rFonts w:ascii="Times New Roman" w:hAnsi="Times New Roman" w:cs="Times New Roman"/>
        </w:rPr>
        <w:t xml:space="preserve">isível </w:t>
      </w:r>
      <w:r w:rsidR="00CC6FF4" w:rsidRPr="00172914">
        <w:rPr>
          <w:rFonts w:ascii="Times New Roman" w:hAnsi="Times New Roman" w:cs="Times New Roman"/>
          <w:bCs/>
        </w:rPr>
        <w:t>a presença dos requisitos exigidos por esses dispositivos legais para antecipação da tutela.</w:t>
      </w:r>
    </w:p>
    <w:p w14:paraId="402B917C" w14:textId="77777777" w:rsidR="00CC6FF4" w:rsidRPr="00172914" w:rsidRDefault="00CC6FF4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62791DE8" w14:textId="1A0BCACF" w:rsidR="00CC6FF4" w:rsidRPr="00172914" w:rsidRDefault="00CC6FF4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172914">
        <w:rPr>
          <w:rFonts w:ascii="Times New Roman" w:hAnsi="Times New Roman" w:cs="Times New Roman"/>
        </w:rPr>
        <w:t xml:space="preserve">Com efeito, a verossimilhança da alegação é constatada por todos os argumentos expostos nesta petição inicial acerca da necessidade de </w:t>
      </w:r>
      <w:r w:rsidR="00CD0FCF" w:rsidRPr="00172914">
        <w:rPr>
          <w:rFonts w:ascii="Times New Roman" w:hAnsi="Times New Roman" w:cs="Times New Roman"/>
        </w:rPr>
        <w:t>invalidação da resolução normativa, com a consequente desobrigação do autor em receber, por transferência, os ativos imobilizados em serviço. Aduz</w:t>
      </w:r>
      <w:r w:rsidRPr="00172914">
        <w:rPr>
          <w:rFonts w:ascii="Times New Roman" w:hAnsi="Times New Roman" w:cs="Times New Roman"/>
        </w:rPr>
        <w:t xml:space="preserve">-se à verossimilhança da alegação </w:t>
      </w:r>
      <w:r w:rsidR="007F4213">
        <w:rPr>
          <w:rFonts w:ascii="Times New Roman" w:hAnsi="Times New Roman" w:cs="Times New Roman"/>
        </w:rPr>
        <w:t xml:space="preserve">que </w:t>
      </w:r>
      <w:r w:rsidR="00CD0FCF" w:rsidRPr="00172914">
        <w:rPr>
          <w:rFonts w:ascii="Times New Roman" w:hAnsi="Times New Roman" w:cs="Times New Roman"/>
        </w:rPr>
        <w:t xml:space="preserve">o fato </w:t>
      </w:r>
      <w:r w:rsidR="007F4213">
        <w:rPr>
          <w:rFonts w:ascii="Times New Roman" w:hAnsi="Times New Roman" w:cs="Times New Roman"/>
        </w:rPr>
        <w:t xml:space="preserve">ensejador do </w:t>
      </w:r>
      <w:r w:rsidRPr="00172914">
        <w:rPr>
          <w:rFonts w:ascii="Times New Roman" w:hAnsi="Times New Roman" w:cs="Times New Roman"/>
        </w:rPr>
        <w:t>pedido liminar</w:t>
      </w:r>
      <w:r w:rsidR="00CD0FCF" w:rsidRPr="00172914">
        <w:rPr>
          <w:rFonts w:ascii="Times New Roman" w:hAnsi="Times New Roman" w:cs="Times New Roman"/>
        </w:rPr>
        <w:t xml:space="preserve"> </w:t>
      </w:r>
      <w:r w:rsidR="007F4213">
        <w:rPr>
          <w:rFonts w:ascii="Times New Roman" w:hAnsi="Times New Roman" w:cs="Times New Roman"/>
        </w:rPr>
        <w:t xml:space="preserve">abrange matéria </w:t>
      </w:r>
      <w:r w:rsidRPr="00172914">
        <w:rPr>
          <w:rFonts w:ascii="Times New Roman" w:hAnsi="Times New Roman" w:cs="Times New Roman"/>
        </w:rPr>
        <w:t xml:space="preserve">eminentemente de direito, </w:t>
      </w:r>
      <w:r w:rsidR="00CD0FCF" w:rsidRPr="00172914">
        <w:rPr>
          <w:rFonts w:ascii="Times New Roman" w:hAnsi="Times New Roman" w:cs="Times New Roman"/>
        </w:rPr>
        <w:t xml:space="preserve">referindo-se à interpretação da legislação vigente, </w:t>
      </w:r>
      <w:r w:rsidRPr="00172914">
        <w:rPr>
          <w:rFonts w:ascii="Times New Roman" w:hAnsi="Times New Roman" w:cs="Times New Roman"/>
        </w:rPr>
        <w:t xml:space="preserve">carecendo a antecipação da tutela de maior dilação probatória além dos documentos anexados à </w:t>
      </w:r>
      <w:r w:rsidR="00CD0FCF" w:rsidRPr="00172914">
        <w:rPr>
          <w:rFonts w:ascii="Times New Roman" w:hAnsi="Times New Roman" w:cs="Times New Roman"/>
        </w:rPr>
        <w:t>exordial</w:t>
      </w:r>
      <w:r w:rsidRPr="00172914">
        <w:rPr>
          <w:rFonts w:ascii="Times New Roman" w:hAnsi="Times New Roman" w:cs="Times New Roman"/>
        </w:rPr>
        <w:t>.</w:t>
      </w:r>
    </w:p>
    <w:p w14:paraId="5B7D41A5" w14:textId="77777777" w:rsidR="00CC6FF4" w:rsidRPr="00C90D89" w:rsidRDefault="00CC6FF4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  <w:color w:val="FF0000"/>
        </w:rPr>
      </w:pPr>
    </w:p>
    <w:p w14:paraId="6F4C3426" w14:textId="08436890" w:rsidR="00CC6FF4" w:rsidRPr="0083749C" w:rsidRDefault="00CC6FF4" w:rsidP="00CC6FF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3749C">
        <w:rPr>
          <w:rFonts w:ascii="Times New Roman" w:hAnsi="Times New Roman" w:cs="Times New Roman"/>
        </w:rPr>
        <w:t xml:space="preserve">Já o fundado receio de dano irreparável ou de difícil reparação </w:t>
      </w:r>
      <w:r w:rsidR="00E81C97" w:rsidRPr="0083749C">
        <w:rPr>
          <w:rFonts w:ascii="Times New Roman" w:hAnsi="Times New Roman" w:cs="Times New Roman"/>
        </w:rPr>
        <w:t xml:space="preserve">(art. 273, I do CPC) </w:t>
      </w:r>
      <w:r w:rsidRPr="0083749C">
        <w:rPr>
          <w:rFonts w:ascii="Times New Roman" w:hAnsi="Times New Roman" w:cs="Times New Roman"/>
        </w:rPr>
        <w:t>encontra-se n</w:t>
      </w:r>
      <w:r w:rsidR="0023242D" w:rsidRPr="0083749C">
        <w:rPr>
          <w:rFonts w:ascii="Times New Roman" w:hAnsi="Times New Roman" w:cs="Times New Roman"/>
        </w:rPr>
        <w:t>a</w:t>
      </w:r>
      <w:r w:rsidRPr="0083749C">
        <w:rPr>
          <w:rFonts w:ascii="Times New Roman" w:hAnsi="Times New Roman" w:cs="Times New Roman"/>
        </w:rPr>
        <w:t xml:space="preserve"> iminência d</w:t>
      </w:r>
      <w:r w:rsidR="00FC6607" w:rsidRPr="0083749C">
        <w:rPr>
          <w:rFonts w:ascii="Times New Roman" w:hAnsi="Times New Roman" w:cs="Times New Roman"/>
        </w:rPr>
        <w:t xml:space="preserve">e que </w:t>
      </w:r>
      <w:r w:rsidR="00E81C97" w:rsidRPr="0083749C">
        <w:rPr>
          <w:rFonts w:ascii="Times New Roman" w:hAnsi="Times New Roman" w:cs="Times New Roman"/>
        </w:rPr>
        <w:t>os réus oper</w:t>
      </w:r>
      <w:r w:rsidR="00715F1A">
        <w:rPr>
          <w:rFonts w:ascii="Times New Roman" w:hAnsi="Times New Roman" w:cs="Times New Roman"/>
        </w:rPr>
        <w:t>e</w:t>
      </w:r>
      <w:r w:rsidR="00E81C97" w:rsidRPr="0083749C">
        <w:rPr>
          <w:rFonts w:ascii="Times New Roman" w:hAnsi="Times New Roman" w:cs="Times New Roman"/>
        </w:rPr>
        <w:t>m</w:t>
      </w:r>
      <w:r w:rsidR="00715F1A">
        <w:rPr>
          <w:rFonts w:ascii="Times New Roman" w:hAnsi="Times New Roman" w:cs="Times New Roman"/>
        </w:rPr>
        <w:t xml:space="preserve"> </w:t>
      </w:r>
      <w:r w:rsidR="00E81C97" w:rsidRPr="0083749C">
        <w:rPr>
          <w:rFonts w:ascii="Times New Roman" w:hAnsi="Times New Roman" w:cs="Times New Roman"/>
        </w:rPr>
        <w:t>a transferência dos ativos</w:t>
      </w:r>
      <w:r w:rsidR="00715F1A">
        <w:rPr>
          <w:rFonts w:ascii="Times New Roman" w:hAnsi="Times New Roman" w:cs="Times New Roman"/>
        </w:rPr>
        <w:t xml:space="preserve"> ao autor</w:t>
      </w:r>
      <w:r w:rsidRPr="0083749C">
        <w:rPr>
          <w:rFonts w:ascii="Times New Roman" w:hAnsi="Times New Roman" w:cs="Times New Roman"/>
        </w:rPr>
        <w:t>.</w:t>
      </w:r>
      <w:r w:rsidR="00E81C97" w:rsidRPr="0083749C">
        <w:rPr>
          <w:rFonts w:ascii="Times New Roman" w:hAnsi="Times New Roman" w:cs="Times New Roman"/>
        </w:rPr>
        <w:t xml:space="preserve"> </w:t>
      </w:r>
      <w:r w:rsidR="00E81C97" w:rsidRPr="0083749C">
        <w:rPr>
          <w:rFonts w:ascii="Times New Roman" w:hAnsi="Times New Roman" w:cs="Times New Roman"/>
          <w:color w:val="FF0000"/>
        </w:rPr>
        <w:t>A preocupação é sobrelevada pelos atos já praticados nesse sentido, conforme relatado na síntese dos fatos</w:t>
      </w:r>
      <w:r w:rsidR="00E81C97" w:rsidRPr="0083749C">
        <w:rPr>
          <w:rFonts w:ascii="Times New Roman" w:hAnsi="Times New Roman" w:cs="Times New Roman"/>
        </w:rPr>
        <w:t xml:space="preserve">. </w:t>
      </w:r>
      <w:r w:rsidR="00715F1A">
        <w:rPr>
          <w:rFonts w:ascii="Times New Roman" w:hAnsi="Times New Roman" w:cs="Times New Roman"/>
        </w:rPr>
        <w:t>Ora</w:t>
      </w:r>
      <w:r w:rsidR="00E81C97" w:rsidRPr="0083749C">
        <w:rPr>
          <w:rFonts w:ascii="Times New Roman" w:hAnsi="Times New Roman" w:cs="Times New Roman"/>
        </w:rPr>
        <w:t>, caso a transferência seja realizada</w:t>
      </w:r>
      <w:r w:rsidR="00715F1A">
        <w:rPr>
          <w:rFonts w:ascii="Times New Roman" w:hAnsi="Times New Roman" w:cs="Times New Roman"/>
        </w:rPr>
        <w:t xml:space="preserve"> </w:t>
      </w:r>
      <w:r w:rsidR="00715F1A" w:rsidRPr="0083749C">
        <w:rPr>
          <w:rFonts w:ascii="Times New Roman" w:hAnsi="Times New Roman" w:cs="Times New Roman"/>
        </w:rPr>
        <w:t>– e</w:t>
      </w:r>
      <w:r w:rsidR="00715F1A">
        <w:rPr>
          <w:rFonts w:ascii="Times New Roman" w:hAnsi="Times New Roman" w:cs="Times New Roman"/>
        </w:rPr>
        <w:t xml:space="preserve"> </w:t>
      </w:r>
      <w:r w:rsidR="00715F1A" w:rsidRPr="0083749C">
        <w:rPr>
          <w:rFonts w:ascii="Times New Roman" w:hAnsi="Times New Roman" w:cs="Times New Roman"/>
        </w:rPr>
        <w:t>aqui</w:t>
      </w:r>
      <w:r w:rsidR="00715F1A">
        <w:rPr>
          <w:rFonts w:ascii="Times New Roman" w:hAnsi="Times New Roman" w:cs="Times New Roman"/>
        </w:rPr>
        <w:t xml:space="preserve"> se </w:t>
      </w:r>
      <w:r w:rsidR="00715F1A" w:rsidRPr="0083749C">
        <w:rPr>
          <w:rFonts w:ascii="Times New Roman" w:hAnsi="Times New Roman" w:cs="Times New Roman"/>
        </w:rPr>
        <w:t>acrescent</w:t>
      </w:r>
      <w:r w:rsidR="00715F1A">
        <w:rPr>
          <w:rFonts w:ascii="Times New Roman" w:hAnsi="Times New Roman" w:cs="Times New Roman"/>
        </w:rPr>
        <w:t>a</w:t>
      </w:r>
      <w:r w:rsidR="00715F1A" w:rsidRPr="0083749C">
        <w:rPr>
          <w:rFonts w:ascii="Times New Roman" w:hAnsi="Times New Roman" w:cs="Times New Roman"/>
        </w:rPr>
        <w:t xml:space="preserve"> o justificado receio de ineficácia do provimento final (art. 461, § 3 do CPC) –</w:t>
      </w:r>
      <w:r w:rsidR="00E81C97" w:rsidRPr="0083749C">
        <w:rPr>
          <w:rFonts w:ascii="Times New Roman" w:hAnsi="Times New Roman" w:cs="Times New Roman"/>
        </w:rPr>
        <w:t xml:space="preserve">, isso importará </w:t>
      </w:r>
      <w:r w:rsidR="00E81C97" w:rsidRPr="005B2959">
        <w:rPr>
          <w:rFonts w:ascii="Times New Roman" w:hAnsi="Times New Roman" w:cs="Times New Roman"/>
          <w:b/>
        </w:rPr>
        <w:t>impacto drástico nas finanças municipais</w:t>
      </w:r>
      <w:r w:rsidR="00E81C97" w:rsidRPr="0083749C">
        <w:rPr>
          <w:rFonts w:ascii="Times New Roman" w:hAnsi="Times New Roman" w:cs="Times New Roman"/>
        </w:rPr>
        <w:t xml:space="preserve">, que se verá obrigada, para assumir essa responsabilidade, a </w:t>
      </w:r>
      <w:r w:rsidR="001325A5" w:rsidRPr="0083749C">
        <w:rPr>
          <w:rFonts w:ascii="Times New Roman" w:hAnsi="Times New Roman" w:cs="Times New Roman"/>
        </w:rPr>
        <w:t xml:space="preserve">subtrair de áreas mais prioritárias do governo municipal, áreas para as quais possui, </w:t>
      </w:r>
      <w:r w:rsidR="00715F1A">
        <w:rPr>
          <w:rFonts w:ascii="Times New Roman" w:hAnsi="Times New Roman" w:cs="Times New Roman"/>
        </w:rPr>
        <w:t>nelas</w:t>
      </w:r>
      <w:r w:rsidR="001325A5" w:rsidRPr="0083749C">
        <w:rPr>
          <w:rFonts w:ascii="Times New Roman" w:hAnsi="Times New Roman" w:cs="Times New Roman"/>
        </w:rPr>
        <w:t xml:space="preserve"> sim, obrigações constitucionais. </w:t>
      </w:r>
      <w:r w:rsidR="00715F1A">
        <w:rPr>
          <w:rFonts w:ascii="Times New Roman" w:hAnsi="Times New Roman" w:cs="Times New Roman"/>
        </w:rPr>
        <w:t xml:space="preserve">Também, </w:t>
      </w:r>
      <w:r w:rsidR="001325A5" w:rsidRPr="0083749C">
        <w:rPr>
          <w:rFonts w:ascii="Times New Roman" w:hAnsi="Times New Roman" w:cs="Times New Roman"/>
        </w:rPr>
        <w:t>em razão da falta de recursos técnicos, de pessoal e financeiros</w:t>
      </w:r>
      <w:r w:rsidR="00715F1A">
        <w:rPr>
          <w:rFonts w:ascii="Times New Roman" w:hAnsi="Times New Roman" w:cs="Times New Roman"/>
        </w:rPr>
        <w:t xml:space="preserve"> do Município, deve-se considerar o </w:t>
      </w:r>
      <w:r w:rsidR="00715F1A" w:rsidRPr="005B2959">
        <w:rPr>
          <w:rFonts w:ascii="Times New Roman" w:hAnsi="Times New Roman" w:cs="Times New Roman"/>
          <w:b/>
        </w:rPr>
        <w:t>risco para a continuidade d</w:t>
      </w:r>
      <w:r w:rsidR="001325A5" w:rsidRPr="005B2959">
        <w:rPr>
          <w:rFonts w:ascii="Times New Roman" w:hAnsi="Times New Roman" w:cs="Times New Roman"/>
          <w:b/>
        </w:rPr>
        <w:t>esses importantes serviços de iluminação pública</w:t>
      </w:r>
      <w:r w:rsidR="001325A5" w:rsidRPr="0083749C">
        <w:rPr>
          <w:rFonts w:ascii="Times New Roman" w:hAnsi="Times New Roman" w:cs="Times New Roman"/>
        </w:rPr>
        <w:t>.</w:t>
      </w:r>
    </w:p>
    <w:p w14:paraId="6AD59EDB" w14:textId="77777777" w:rsidR="00CC6FF4" w:rsidRPr="007E3A99" w:rsidRDefault="00CC6FF4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0BEE9003" w14:textId="55F19ADC" w:rsidR="000F1293" w:rsidRPr="007E3A99" w:rsidRDefault="00E81C97" w:rsidP="007E3A9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7E3A99">
        <w:rPr>
          <w:rFonts w:ascii="Times New Roman" w:hAnsi="Times New Roman" w:cs="Times New Roman"/>
        </w:rPr>
        <w:t xml:space="preserve">Por essas razões, requer, nos termos do art. </w:t>
      </w:r>
      <w:r w:rsidR="000F1293" w:rsidRPr="007E3A99">
        <w:rPr>
          <w:rFonts w:ascii="Times New Roman" w:hAnsi="Times New Roman" w:cs="Times New Roman"/>
        </w:rPr>
        <w:t>4</w:t>
      </w:r>
      <w:r w:rsidR="00BD1245">
        <w:rPr>
          <w:rFonts w:ascii="Times New Roman" w:hAnsi="Times New Roman" w:cs="Times New Roman"/>
        </w:rPr>
        <w:t>6</w:t>
      </w:r>
      <w:r w:rsidR="000F1293" w:rsidRPr="007E3A99">
        <w:rPr>
          <w:rFonts w:ascii="Times New Roman" w:hAnsi="Times New Roman" w:cs="Times New Roman"/>
        </w:rPr>
        <w:t>1</w:t>
      </w:r>
      <w:r w:rsidR="007E3A99" w:rsidRPr="007E3A99">
        <w:rPr>
          <w:rFonts w:ascii="Times New Roman" w:hAnsi="Times New Roman" w:cs="Times New Roman"/>
        </w:rPr>
        <w:t>,</w:t>
      </w:r>
      <w:r w:rsidRPr="007E3A99">
        <w:rPr>
          <w:rFonts w:ascii="Times New Roman" w:hAnsi="Times New Roman" w:cs="Times New Roman"/>
        </w:rPr>
        <w:t xml:space="preserve"> </w:t>
      </w:r>
      <w:r w:rsidR="007E3A99" w:rsidRPr="007E3A99">
        <w:rPr>
          <w:rFonts w:ascii="Times New Roman" w:hAnsi="Times New Roman" w:cs="Times New Roman"/>
        </w:rPr>
        <w:t>§</w:t>
      </w:r>
      <w:r w:rsidRPr="007E3A99">
        <w:rPr>
          <w:rFonts w:ascii="Times New Roman" w:hAnsi="Times New Roman" w:cs="Times New Roman"/>
        </w:rPr>
        <w:t xml:space="preserve">§ </w:t>
      </w:r>
      <w:r w:rsidR="007E3A99" w:rsidRPr="007E3A99">
        <w:rPr>
          <w:rFonts w:ascii="Times New Roman" w:hAnsi="Times New Roman" w:cs="Times New Roman"/>
        </w:rPr>
        <w:t xml:space="preserve">3º e 5º do CPC, seja determinado que </w:t>
      </w:r>
      <w:r w:rsidR="00C02FC5">
        <w:rPr>
          <w:rFonts w:ascii="Times New Roman" w:hAnsi="Times New Roman" w:cs="Times New Roman"/>
        </w:rPr>
        <w:t>as ré</w:t>
      </w:r>
      <w:r w:rsidR="007E3A99" w:rsidRPr="007E3A99">
        <w:rPr>
          <w:rFonts w:ascii="Times New Roman" w:hAnsi="Times New Roman" w:cs="Times New Roman"/>
        </w:rPr>
        <w:t>s abstenham-se de atos tendentes à transferência</w:t>
      </w:r>
      <w:r w:rsidR="00C02FC5">
        <w:rPr>
          <w:rFonts w:ascii="Times New Roman" w:hAnsi="Times New Roman" w:cs="Times New Roman"/>
        </w:rPr>
        <w:t xml:space="preserve"> dos ativos</w:t>
      </w:r>
      <w:r w:rsidR="007E3A99" w:rsidRPr="007E3A99">
        <w:rPr>
          <w:rFonts w:ascii="Times New Roman" w:hAnsi="Times New Roman" w:cs="Times New Roman"/>
        </w:rPr>
        <w:t>, cominando</w:t>
      </w:r>
      <w:r w:rsidR="00C02FC5">
        <w:rPr>
          <w:rFonts w:ascii="Times New Roman" w:hAnsi="Times New Roman" w:cs="Times New Roman"/>
        </w:rPr>
        <w:t>-se</w:t>
      </w:r>
      <w:r w:rsidR="007E3A99" w:rsidRPr="007E3A99">
        <w:rPr>
          <w:rFonts w:ascii="Times New Roman" w:hAnsi="Times New Roman" w:cs="Times New Roman"/>
        </w:rPr>
        <w:t xml:space="preserve"> multa</w:t>
      </w:r>
      <w:r w:rsidR="00C02FC5">
        <w:rPr>
          <w:rFonts w:ascii="Times New Roman" w:hAnsi="Times New Roman" w:cs="Times New Roman"/>
        </w:rPr>
        <w:t xml:space="preserve"> </w:t>
      </w:r>
      <w:r w:rsidR="007E3A99" w:rsidRPr="007E3A99">
        <w:rPr>
          <w:rFonts w:ascii="Times New Roman" w:hAnsi="Times New Roman" w:cs="Times New Roman"/>
        </w:rPr>
        <w:t>para eventuais tentativas da concessionária ré em impor tal transferência.</w:t>
      </w:r>
    </w:p>
    <w:p w14:paraId="1234BC4F" w14:textId="77777777" w:rsidR="007E3A99" w:rsidRPr="007E3A99" w:rsidRDefault="007E3A99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43267ED8" w14:textId="2F05775C" w:rsidR="00217834" w:rsidRPr="00FC6607" w:rsidRDefault="00C02FC5" w:rsidP="00CC6FF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AF32D1" w:rsidRPr="00FC6607">
        <w:rPr>
          <w:rFonts w:ascii="Times New Roman" w:hAnsi="Times New Roman" w:cs="Times New Roman"/>
        </w:rPr>
        <w:t xml:space="preserve"> fim, vale salientar que, embora se trata de pedido de antecipação de tutela tendo-se como um dos </w:t>
      </w:r>
      <w:proofErr w:type="spellStart"/>
      <w:r w:rsidR="00AF32D1" w:rsidRPr="00FC6607">
        <w:rPr>
          <w:rFonts w:ascii="Times New Roman" w:hAnsi="Times New Roman" w:cs="Times New Roman"/>
        </w:rPr>
        <w:t>co-réus</w:t>
      </w:r>
      <w:proofErr w:type="spellEnd"/>
      <w:r w:rsidR="00AF32D1" w:rsidRPr="00FC6607">
        <w:rPr>
          <w:rFonts w:ascii="Times New Roman" w:hAnsi="Times New Roman" w:cs="Times New Roman"/>
        </w:rPr>
        <w:t xml:space="preserve"> a </w:t>
      </w:r>
      <w:r w:rsidR="00A5398D">
        <w:rPr>
          <w:rFonts w:ascii="Times New Roman" w:hAnsi="Times New Roman" w:cs="Times New Roman"/>
        </w:rPr>
        <w:t>pessoa de direito público</w:t>
      </w:r>
      <w:r w:rsidR="00AF32D1" w:rsidRPr="00FC6607">
        <w:rPr>
          <w:rFonts w:ascii="Times New Roman" w:hAnsi="Times New Roman" w:cs="Times New Roman"/>
        </w:rPr>
        <w:t xml:space="preserve">, não se está diante das hipóteses </w:t>
      </w:r>
      <w:r w:rsidR="00A5398D">
        <w:rPr>
          <w:rFonts w:ascii="Times New Roman" w:hAnsi="Times New Roman" w:cs="Times New Roman"/>
        </w:rPr>
        <w:t xml:space="preserve">legais </w:t>
      </w:r>
      <w:r w:rsidR="00AF32D1" w:rsidRPr="00FC6607">
        <w:rPr>
          <w:rFonts w:ascii="Times New Roman" w:hAnsi="Times New Roman" w:cs="Times New Roman"/>
        </w:rPr>
        <w:t>de vedaçã</w:t>
      </w:r>
      <w:r w:rsidR="00A5398D">
        <w:rPr>
          <w:rFonts w:ascii="Times New Roman" w:hAnsi="Times New Roman" w:cs="Times New Roman"/>
        </w:rPr>
        <w:t xml:space="preserve">o </w:t>
      </w:r>
      <w:r w:rsidR="00AF32D1" w:rsidRPr="00FC6607">
        <w:rPr>
          <w:rFonts w:ascii="Times New Roman" w:hAnsi="Times New Roman" w:cs="Times New Roman"/>
        </w:rPr>
        <w:t>d</w:t>
      </w:r>
      <w:r w:rsidR="00A5398D">
        <w:rPr>
          <w:rFonts w:ascii="Times New Roman" w:hAnsi="Times New Roman" w:cs="Times New Roman"/>
        </w:rPr>
        <w:t xml:space="preserve">e medida </w:t>
      </w:r>
      <w:r w:rsidR="00AF32D1" w:rsidRPr="00FC6607">
        <w:rPr>
          <w:rFonts w:ascii="Times New Roman" w:hAnsi="Times New Roman" w:cs="Times New Roman"/>
        </w:rPr>
        <w:t xml:space="preserve">liminar (art. 1º e 2º-B da Lei n. 9.494/1997 e art. 1º da Lei n. 8.437/1992 c/c art. 7º, § 2º da Lei n. 12.016/2009). Cabe, no entanto, a precaução de que seja intimado o representante legal da autarquia ré (art. 1º, § 4º, da Lei n. 8.437/1992), o que, pela precaução, aqui se requer. </w:t>
      </w:r>
    </w:p>
    <w:p w14:paraId="4A9860DC" w14:textId="77777777" w:rsidR="00497CDD" w:rsidRPr="00C90D89" w:rsidRDefault="00497CDD" w:rsidP="00397F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EA7E1FE" w14:textId="2D09ABA8" w:rsidR="004C431E" w:rsidRPr="00C90D89" w:rsidRDefault="004C431E" w:rsidP="004C431E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 xml:space="preserve">3. </w:t>
      </w:r>
      <w:r w:rsidR="00EA5254" w:rsidRPr="00C90D89">
        <w:rPr>
          <w:rFonts w:ascii="Times New Roman" w:hAnsi="Times New Roman" w:cs="Times New Roman"/>
          <w:b/>
        </w:rPr>
        <w:t>D</w:t>
      </w:r>
      <w:r w:rsidR="00AB38CB" w:rsidRPr="00C90D89">
        <w:rPr>
          <w:rFonts w:ascii="Times New Roman" w:hAnsi="Times New Roman" w:cs="Times New Roman"/>
          <w:b/>
        </w:rPr>
        <w:t xml:space="preserve">as conclusões </w:t>
      </w:r>
      <w:r w:rsidR="00EA5254" w:rsidRPr="00C90D89">
        <w:rPr>
          <w:rFonts w:ascii="Times New Roman" w:hAnsi="Times New Roman" w:cs="Times New Roman"/>
          <w:b/>
        </w:rPr>
        <w:t>e do pedido</w:t>
      </w:r>
    </w:p>
    <w:p w14:paraId="56470D1D" w14:textId="77777777" w:rsidR="00EA5254" w:rsidRPr="00C90D89" w:rsidRDefault="00EA5254" w:rsidP="00755996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089BD275" w14:textId="1A90A68A" w:rsidR="005610C6" w:rsidRPr="00C90D89" w:rsidRDefault="00AB38CB" w:rsidP="00AB38C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90D89">
        <w:rPr>
          <w:rFonts w:ascii="Times New Roman" w:hAnsi="Times New Roman" w:cs="Times New Roman"/>
          <w:u w:val="single"/>
        </w:rPr>
        <w:t>3.1. Conclusões</w:t>
      </w:r>
    </w:p>
    <w:p w14:paraId="6AC4CA45" w14:textId="77777777" w:rsidR="00AB38CB" w:rsidRPr="00C90D89" w:rsidRDefault="00AB38CB" w:rsidP="00AB38CB">
      <w:pPr>
        <w:spacing w:line="360" w:lineRule="auto"/>
        <w:jc w:val="both"/>
        <w:rPr>
          <w:rFonts w:ascii="Times New Roman" w:hAnsi="Times New Roman" w:cs="Times New Roman"/>
        </w:rPr>
      </w:pPr>
    </w:p>
    <w:p w14:paraId="6A497743" w14:textId="34D401F0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Na presente petição, buscou-se demonstrar a invalidade d</w:t>
      </w:r>
      <w:r w:rsidR="00686B3A">
        <w:rPr>
          <w:rFonts w:ascii="Times New Roman" w:hAnsi="Times New Roman" w:cs="Times New Roman"/>
        </w:rPr>
        <w:t>e dispositivos da Resolução Normativa n. 414/2010 editada pela ré ANEEL</w:t>
      </w:r>
      <w:r w:rsidRPr="00C90D89">
        <w:rPr>
          <w:rFonts w:ascii="Times New Roman" w:hAnsi="Times New Roman" w:cs="Times New Roman"/>
        </w:rPr>
        <w:t xml:space="preserve">. Ao depois, verificou-se que, da invalidade, surge uma pretensão mandamental. </w:t>
      </w:r>
      <w:r w:rsidR="00686B3A">
        <w:rPr>
          <w:rFonts w:ascii="Times New Roman" w:hAnsi="Times New Roman" w:cs="Times New Roman"/>
        </w:rPr>
        <w:t>Foram</w:t>
      </w:r>
      <w:r w:rsidRPr="00C90D89">
        <w:rPr>
          <w:rFonts w:ascii="Times New Roman" w:hAnsi="Times New Roman" w:cs="Times New Roman"/>
        </w:rPr>
        <w:t xml:space="preserve">, em resumo, os seguintes argumentos </w:t>
      </w:r>
      <w:r w:rsidR="00686B3A">
        <w:rPr>
          <w:rFonts w:ascii="Times New Roman" w:hAnsi="Times New Roman" w:cs="Times New Roman"/>
        </w:rPr>
        <w:t xml:space="preserve">aqui </w:t>
      </w:r>
      <w:r w:rsidRPr="00C90D89">
        <w:rPr>
          <w:rFonts w:ascii="Times New Roman" w:hAnsi="Times New Roman" w:cs="Times New Roman"/>
        </w:rPr>
        <w:t>aviados:</w:t>
      </w:r>
    </w:p>
    <w:p w14:paraId="1F712FBE" w14:textId="77777777" w:rsidR="005610C6" w:rsidRPr="00C90D89" w:rsidRDefault="005610C6" w:rsidP="004C70E9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 </w:t>
      </w:r>
    </w:p>
    <w:p w14:paraId="1387FB7D" w14:textId="3CE3D08F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  <w:bCs/>
        </w:rPr>
      </w:pPr>
      <w:r w:rsidRPr="00D9614F">
        <w:rPr>
          <w:rFonts w:ascii="Times New Roman" w:hAnsi="Times New Roman" w:cs="Times New Roman"/>
        </w:rPr>
        <w:t xml:space="preserve">i) a resolução normativa da ANEEL é inconstitucional por afrontar o princípio da </w:t>
      </w:r>
      <w:r w:rsidRPr="00D9614F">
        <w:rPr>
          <w:rFonts w:ascii="Times New Roman" w:hAnsi="Times New Roman" w:cs="Times New Roman"/>
          <w:bCs/>
        </w:rPr>
        <w:t>reserva de lei (artigos 5º, II, e 37 da CF/88). O art. 218 da resolução estabelece disposições novas que criam obrigações aos municípios diferentes e contrárias à Constituição (artigos 20, 21, 22, 84, IV, 173, 174 e 175 da CF/88), à lei (</w:t>
      </w:r>
      <w:r w:rsidRPr="00D9614F">
        <w:rPr>
          <w:rFonts w:ascii="Times New Roman" w:hAnsi="Times New Roman" w:cs="Times New Roman"/>
        </w:rPr>
        <w:t xml:space="preserve">art. 3º da Lei n. 9.427/1996 e artigos 6º e 9º, § 2º, da Lei m. 8.987/1995) </w:t>
      </w:r>
      <w:r w:rsidRPr="00D9614F">
        <w:rPr>
          <w:rFonts w:ascii="Times New Roman" w:hAnsi="Times New Roman" w:cs="Times New Roman"/>
          <w:bCs/>
        </w:rPr>
        <w:t xml:space="preserve">e a atos </w:t>
      </w:r>
      <w:proofErr w:type="spellStart"/>
      <w:r w:rsidRPr="00D9614F">
        <w:rPr>
          <w:rFonts w:ascii="Times New Roman" w:hAnsi="Times New Roman" w:cs="Times New Roman"/>
          <w:bCs/>
        </w:rPr>
        <w:t>infralegais</w:t>
      </w:r>
      <w:proofErr w:type="spellEnd"/>
      <w:r w:rsidRPr="00D9614F">
        <w:rPr>
          <w:rFonts w:ascii="Times New Roman" w:hAnsi="Times New Roman" w:cs="Times New Roman"/>
          <w:bCs/>
        </w:rPr>
        <w:t xml:space="preserve"> de escalão superior </w:t>
      </w:r>
      <w:r w:rsidR="00BD1245">
        <w:rPr>
          <w:rFonts w:ascii="Times New Roman" w:hAnsi="Times New Roman" w:cs="Times New Roman"/>
          <w:bCs/>
        </w:rPr>
        <w:t xml:space="preserve">a ela </w:t>
      </w:r>
      <w:r w:rsidRPr="00D9614F">
        <w:rPr>
          <w:rFonts w:ascii="Times New Roman" w:hAnsi="Times New Roman" w:cs="Times New Roman"/>
          <w:bCs/>
        </w:rPr>
        <w:t>(</w:t>
      </w:r>
      <w:r w:rsidRPr="00D9614F">
        <w:rPr>
          <w:rFonts w:ascii="Times New Roman" w:hAnsi="Times New Roman" w:cs="Times New Roman"/>
        </w:rPr>
        <w:t>art. 8º do Decreto-Lei 3.763/1941 e art. 64 do Decreto n. 41.019/1957)</w:t>
      </w:r>
    </w:p>
    <w:p w14:paraId="26CA6079" w14:textId="77777777" w:rsidR="00BD1245" w:rsidRDefault="00BD1245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62C7A933" w14:textId="77777777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D9614F">
        <w:rPr>
          <w:rFonts w:ascii="Times New Roman" w:hAnsi="Times New Roman" w:cs="Times New Roman"/>
        </w:rPr>
        <w:t>ii</w:t>
      </w:r>
      <w:proofErr w:type="spellEnd"/>
      <w:r w:rsidRPr="00D9614F">
        <w:rPr>
          <w:rFonts w:ascii="Times New Roman" w:hAnsi="Times New Roman" w:cs="Times New Roman"/>
        </w:rPr>
        <w:t>) a resolução normativa da ANEEL é inconstitucional por afrontar o regime de bens da Constituição, transformando bens da União (art. 20, VIII, e § 1º da CF/88) em municipais;</w:t>
      </w:r>
    </w:p>
    <w:p w14:paraId="0AC4C62F" w14:textId="77777777" w:rsidR="00BD1245" w:rsidRDefault="00BD1245" w:rsidP="00E34A8A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20B2EB9C" w14:textId="77777777" w:rsidR="004C70E9" w:rsidRDefault="004C70E9" w:rsidP="00E34A8A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D9614F">
        <w:rPr>
          <w:rFonts w:ascii="Times New Roman" w:hAnsi="Times New Roman" w:cs="Times New Roman"/>
        </w:rPr>
        <w:t>iii</w:t>
      </w:r>
      <w:proofErr w:type="spellEnd"/>
      <w:r w:rsidRPr="00D9614F">
        <w:rPr>
          <w:rFonts w:ascii="Times New Roman" w:hAnsi="Times New Roman" w:cs="Times New Roman"/>
        </w:rPr>
        <w:t>) a resolução normativa da ANEEL é inconstitucional por afrontar a repartição de competências da Constituição, transformando competências legislativas e administrativas da União (artigos 22, IV e 21, XII, “b” da CF/88) em municipais. Nesse ponto, é necessário entender que a competência administrativa explícita da União prevalece sobre a competência dos municípios relacionada a interesses locais (art. 30, V), por diversos motivos: correspondência entre as competências legislativas e materiais; interpretação sistemática da Constituição e das leis sobre a exploração da energia elétrica e a sua estrutura; a exclusão dos Municípios nas atribuições sobre a energia elétrica; o argumento da especialidade; o critério da preponderância de interesses;</w:t>
      </w:r>
    </w:p>
    <w:p w14:paraId="39F3B072" w14:textId="77777777" w:rsidR="00BD1245" w:rsidRPr="00D9614F" w:rsidRDefault="00BD1245" w:rsidP="00E34A8A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0B059099" w14:textId="77777777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D9614F">
        <w:rPr>
          <w:rFonts w:ascii="Times New Roman" w:hAnsi="Times New Roman" w:cs="Times New Roman"/>
        </w:rPr>
        <w:t>iv</w:t>
      </w:r>
      <w:proofErr w:type="spellEnd"/>
      <w:r w:rsidRPr="00D9614F">
        <w:rPr>
          <w:rFonts w:ascii="Times New Roman" w:hAnsi="Times New Roman" w:cs="Times New Roman"/>
        </w:rPr>
        <w:t>) a resolução normativa da ANEEL é inconstitucional por afrontar o princípio da subsidiariedade, estabelecendo como regra (artigos 21 e 218 da resolução) aquilo que a exploração direta da iluminação pública, que a Constituição prescreve como exceção (artigos 173, 174 e 175 da CF/88)</w:t>
      </w:r>
    </w:p>
    <w:p w14:paraId="5910A50A" w14:textId="77777777" w:rsidR="00E34A8A" w:rsidRDefault="00E34A8A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6F88F7A6" w14:textId="77777777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D9614F">
        <w:rPr>
          <w:rFonts w:ascii="Times New Roman" w:hAnsi="Times New Roman" w:cs="Times New Roman"/>
        </w:rPr>
        <w:t xml:space="preserve">v)  </w:t>
      </w:r>
      <w:r w:rsidRPr="00D9614F">
        <w:rPr>
          <w:rFonts w:ascii="Times New Roman" w:hAnsi="Times New Roman" w:cs="Times New Roman"/>
          <w:bCs/>
        </w:rPr>
        <w:t xml:space="preserve"> </w:t>
      </w:r>
      <w:r w:rsidRPr="00D9614F">
        <w:rPr>
          <w:rFonts w:ascii="Times New Roman" w:hAnsi="Times New Roman" w:cs="Times New Roman"/>
        </w:rPr>
        <w:t xml:space="preserve">a resolução normativa da ANEEL é inválida em razão de afrontar a Lei das Concessões (especialmente por obter, como resultado prático, o afastamento da obrigação de manutenção de um serviço adequado) e o próprio contratado de concessão assinado com a distribuidora </w:t>
      </w:r>
      <w:proofErr w:type="spellStart"/>
      <w:r w:rsidRPr="00D9614F">
        <w:rPr>
          <w:rFonts w:ascii="Times New Roman" w:hAnsi="Times New Roman" w:cs="Times New Roman"/>
        </w:rPr>
        <w:t>co-ré</w:t>
      </w:r>
      <w:proofErr w:type="spellEnd"/>
      <w:r w:rsidRPr="00D9614F">
        <w:rPr>
          <w:rFonts w:ascii="Times New Roman" w:hAnsi="Times New Roman" w:cs="Times New Roman"/>
        </w:rPr>
        <w:t xml:space="preserve"> (no ponto em que mexe no equilíbrio econômico-financeiro do contrato, desobrigando a distribuidora com o serviço de iluminação pública, contratualmente a ela reputado)</w:t>
      </w:r>
    </w:p>
    <w:p w14:paraId="3BAFD318" w14:textId="77777777" w:rsidR="00B63023" w:rsidRDefault="00B63023" w:rsidP="00E34A8A">
      <w:pPr>
        <w:pStyle w:val="NormalWeb"/>
        <w:spacing w:before="0" w:after="0" w:line="360" w:lineRule="auto"/>
        <w:ind w:left="2268" w:right="72"/>
        <w:rPr>
          <w:rFonts w:ascii="Times New Roman" w:hAnsi="Times New Roman" w:cs="Times New Roman"/>
        </w:rPr>
      </w:pPr>
    </w:p>
    <w:p w14:paraId="7812492E" w14:textId="203D0086" w:rsidR="00B63023" w:rsidRPr="00C90D89" w:rsidRDefault="00B63023" w:rsidP="00E34A8A">
      <w:pPr>
        <w:pStyle w:val="NormalWeb"/>
        <w:spacing w:before="0" w:after="0" w:line="360" w:lineRule="auto"/>
        <w:ind w:left="2268"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vi) </w:t>
      </w:r>
      <w:r w:rsidR="00955453">
        <w:rPr>
          <w:rFonts w:ascii="Times New Roman" w:hAnsi="Times New Roman" w:cs="Times New Roman"/>
        </w:rPr>
        <w:t xml:space="preserve">uma vez </w:t>
      </w:r>
      <w:r w:rsidR="0095545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nvalidados os dispositivos, as obrigações dele decorrentes são, naturalmente, também invalidadas. Assim, </w:t>
      </w:r>
      <w:r w:rsidR="00955453">
        <w:rPr>
          <w:rFonts w:ascii="Times New Roman" w:hAnsi="Times New Roman" w:cs="Times New Roman"/>
          <w:bCs/>
        </w:rPr>
        <w:t xml:space="preserve">como </w:t>
      </w:r>
      <w:r>
        <w:rPr>
          <w:rFonts w:ascii="Times New Roman" w:hAnsi="Times New Roman" w:cs="Times New Roman"/>
          <w:bCs/>
        </w:rPr>
        <w:t xml:space="preserve">a transferência dos ativos imobilizados em serviço (AIS) ainda não </w:t>
      </w:r>
      <w:r w:rsidR="00955453">
        <w:rPr>
          <w:rFonts w:ascii="Times New Roman" w:hAnsi="Times New Roman" w:cs="Times New Roman"/>
          <w:bCs/>
        </w:rPr>
        <w:t xml:space="preserve">ocorreu, </w:t>
      </w:r>
      <w:r>
        <w:rPr>
          <w:rFonts w:ascii="Times New Roman" w:hAnsi="Times New Roman" w:cs="Times New Roman"/>
          <w:bCs/>
        </w:rPr>
        <w:t>mas h</w:t>
      </w:r>
      <w:r w:rsidR="00955453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 xml:space="preserve"> </w:t>
      </w:r>
      <w:r w:rsidR="00955453">
        <w:rPr>
          <w:rFonts w:ascii="Times New Roman" w:hAnsi="Times New Roman" w:cs="Times New Roman"/>
          <w:bCs/>
        </w:rPr>
        <w:t>fundado receio de que venha a se operacionalizar pelas ré, por força da normativa regulamentar, há uma pretensão mandamental do autor, constante em uma obrigação de não fazer (abster-se da transferência).</w:t>
      </w:r>
    </w:p>
    <w:p w14:paraId="5CE5786B" w14:textId="77777777" w:rsidR="005610C6" w:rsidRPr="00C90D89" w:rsidRDefault="005610C6" w:rsidP="00755996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75177A12" w14:textId="0C7F5928" w:rsidR="005610C6" w:rsidRPr="00C90D89" w:rsidRDefault="005610C6" w:rsidP="00246D0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90D89">
        <w:rPr>
          <w:rFonts w:ascii="Times New Roman" w:hAnsi="Times New Roman" w:cs="Times New Roman"/>
          <w:u w:val="single"/>
        </w:rPr>
        <w:t>3.2. Do Pedido</w:t>
      </w:r>
    </w:p>
    <w:p w14:paraId="20B2F575" w14:textId="77777777" w:rsidR="005610C6" w:rsidRPr="00C90D89" w:rsidRDefault="005610C6" w:rsidP="00755996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5B4450BE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Em face do exposto, requer:</w:t>
      </w:r>
    </w:p>
    <w:p w14:paraId="66DA675B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63BC0232" w14:textId="0C3E99EA" w:rsidR="005610C6" w:rsidRPr="00C90D89" w:rsidRDefault="005610C6" w:rsidP="005610C6">
      <w:pPr>
        <w:pStyle w:val="NormalWeb"/>
        <w:spacing w:before="0" w:after="0" w:line="360" w:lineRule="auto"/>
        <w:ind w:left="2268" w:hanging="284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>a) em caráter liminar, a antecipação da tutela, nos termos do art. 27</w:t>
      </w:r>
      <w:r w:rsidR="00BD1245">
        <w:rPr>
          <w:rFonts w:ascii="Times New Roman" w:hAnsi="Times New Roman" w:cs="Times New Roman"/>
          <w:szCs w:val="20"/>
        </w:rPr>
        <w:t>3, I</w:t>
      </w:r>
      <w:r w:rsidRPr="00C90D89">
        <w:rPr>
          <w:rFonts w:ascii="Times New Roman" w:hAnsi="Times New Roman" w:cs="Times New Roman"/>
          <w:szCs w:val="20"/>
        </w:rPr>
        <w:t xml:space="preserve"> </w:t>
      </w:r>
      <w:r w:rsidR="00BD1245">
        <w:rPr>
          <w:rFonts w:ascii="Times New Roman" w:hAnsi="Times New Roman" w:cs="Times New Roman"/>
          <w:szCs w:val="20"/>
        </w:rPr>
        <w:t xml:space="preserve">e do art. 461, § 3º </w:t>
      </w:r>
      <w:r w:rsidRPr="00C90D89">
        <w:rPr>
          <w:rFonts w:ascii="Times New Roman" w:hAnsi="Times New Roman" w:cs="Times New Roman"/>
          <w:szCs w:val="20"/>
        </w:rPr>
        <w:t>do CPC, para o efeito de determinar,</w:t>
      </w:r>
      <w:r w:rsidRPr="00C90D89">
        <w:rPr>
          <w:rFonts w:ascii="Times New Roman" w:hAnsi="Times New Roman" w:cs="Times New Roman"/>
          <w:i/>
          <w:szCs w:val="20"/>
        </w:rPr>
        <w:t xml:space="preserve"> inaudita altera parte</w:t>
      </w:r>
      <w:r w:rsidRPr="00C90D89">
        <w:rPr>
          <w:rFonts w:ascii="Times New Roman" w:hAnsi="Times New Roman" w:cs="Times New Roman"/>
          <w:szCs w:val="20"/>
        </w:rPr>
        <w:t xml:space="preserve">: </w:t>
      </w:r>
    </w:p>
    <w:p w14:paraId="3EAD26D5" w14:textId="77777777" w:rsidR="005610C6" w:rsidRPr="00C90D89" w:rsidRDefault="005610C6" w:rsidP="005610C6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</w:p>
    <w:p w14:paraId="749908E3" w14:textId="22546923" w:rsidR="00246D09" w:rsidRPr="00C90D89" w:rsidRDefault="00BD1245" w:rsidP="00611A7C">
      <w:pPr>
        <w:pStyle w:val="NormalWeb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as rés se </w:t>
      </w:r>
      <w:r w:rsidRPr="00BD1245">
        <w:rPr>
          <w:rFonts w:ascii="Times New Roman" w:hAnsi="Times New Roman" w:cs="Times New Roman"/>
          <w:b/>
        </w:rPr>
        <w:t>abstenham</w:t>
      </w:r>
      <w:r>
        <w:rPr>
          <w:rFonts w:ascii="Times New Roman" w:hAnsi="Times New Roman" w:cs="Times New Roman"/>
        </w:rPr>
        <w:t xml:space="preserve"> </w:t>
      </w:r>
      <w:r w:rsidR="005610C6" w:rsidRPr="00C90D8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praticar </w:t>
      </w:r>
      <w:r w:rsidR="005610C6" w:rsidRPr="00C90D89">
        <w:rPr>
          <w:rFonts w:ascii="Times New Roman" w:hAnsi="Times New Roman" w:cs="Times New Roman"/>
        </w:rPr>
        <w:t xml:space="preserve">quaisquer atos </w:t>
      </w:r>
      <w:r w:rsidR="00611A7C" w:rsidRPr="00C90D89">
        <w:rPr>
          <w:rFonts w:ascii="Times New Roman" w:hAnsi="Times New Roman" w:cs="Times New Roman"/>
        </w:rPr>
        <w:t xml:space="preserve">tendentes a transferir para o autor </w:t>
      </w:r>
      <w:r w:rsidR="00246D09" w:rsidRPr="00C90D89">
        <w:rPr>
          <w:rFonts w:ascii="Times New Roman" w:hAnsi="Times New Roman" w:cs="Times New Roman"/>
          <w:bCs/>
        </w:rPr>
        <w:t xml:space="preserve">o sistema de iluminação pública registrado como Ativo Imobilizado em Serviço, </w:t>
      </w:r>
      <w:r w:rsidRPr="007E3A99">
        <w:rPr>
          <w:rFonts w:ascii="Times New Roman" w:hAnsi="Times New Roman" w:cs="Times New Roman"/>
        </w:rPr>
        <w:t xml:space="preserve">cominando </w:t>
      </w:r>
      <w:r>
        <w:rPr>
          <w:rFonts w:ascii="Times New Roman" w:hAnsi="Times New Roman" w:cs="Times New Roman"/>
        </w:rPr>
        <w:t xml:space="preserve">o juízo </w:t>
      </w:r>
      <w:r w:rsidRPr="007E3A99">
        <w:rPr>
          <w:rFonts w:ascii="Times New Roman" w:hAnsi="Times New Roman" w:cs="Times New Roman"/>
        </w:rPr>
        <w:t xml:space="preserve">multa, </w:t>
      </w:r>
      <w:r>
        <w:rPr>
          <w:rFonts w:ascii="Times New Roman" w:hAnsi="Times New Roman" w:cs="Times New Roman"/>
        </w:rPr>
        <w:t>em</w:t>
      </w:r>
      <w:r w:rsidRPr="007E3A99">
        <w:rPr>
          <w:rFonts w:ascii="Times New Roman" w:hAnsi="Times New Roman" w:cs="Times New Roman"/>
        </w:rPr>
        <w:t xml:space="preserve"> valor que entender razoável</w:t>
      </w:r>
      <w:r>
        <w:rPr>
          <w:rFonts w:ascii="Times New Roman" w:hAnsi="Times New Roman" w:cs="Times New Roman"/>
        </w:rPr>
        <w:t xml:space="preserve"> (art. 461, § 5º do CPC)</w:t>
      </w:r>
      <w:r w:rsidRPr="007E3A99">
        <w:rPr>
          <w:rFonts w:ascii="Times New Roman" w:hAnsi="Times New Roman" w:cs="Times New Roman"/>
        </w:rPr>
        <w:t>, para eventuais tentativas da concessionária ré em impor tal transferência</w:t>
      </w:r>
      <w:r>
        <w:rPr>
          <w:rFonts w:ascii="Times New Roman" w:hAnsi="Times New Roman" w:cs="Times New Roman"/>
        </w:rPr>
        <w:t>.</w:t>
      </w:r>
      <w:r w:rsidR="00D23E34">
        <w:rPr>
          <w:rFonts w:ascii="Times New Roman" w:hAnsi="Times New Roman" w:cs="Times New Roman"/>
        </w:rPr>
        <w:t xml:space="preserve"> </w:t>
      </w:r>
    </w:p>
    <w:p w14:paraId="79284918" w14:textId="77777777" w:rsidR="005610C6" w:rsidRPr="00C90D89" w:rsidRDefault="005610C6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szCs w:val="20"/>
        </w:rPr>
      </w:pPr>
    </w:p>
    <w:p w14:paraId="198903EC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 xml:space="preserve">b) em caráter definitivo, a </w:t>
      </w:r>
      <w:r w:rsidRPr="00C90D89">
        <w:rPr>
          <w:rFonts w:ascii="Times New Roman" w:hAnsi="Times New Roman" w:cs="Times New Roman"/>
          <w:b/>
          <w:szCs w:val="20"/>
        </w:rPr>
        <w:t>total procedência</w:t>
      </w:r>
      <w:r w:rsidRPr="00C90D89">
        <w:rPr>
          <w:rFonts w:ascii="Times New Roman" w:hAnsi="Times New Roman" w:cs="Times New Roman"/>
          <w:szCs w:val="20"/>
        </w:rPr>
        <w:t xml:space="preserve"> da presente ação para os efeitos de: </w:t>
      </w:r>
    </w:p>
    <w:p w14:paraId="38684548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364E7ADA" w14:textId="18D34E04" w:rsidR="005610C6" w:rsidRPr="00C90D89" w:rsidRDefault="005610C6" w:rsidP="00F62FA8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 xml:space="preserve">- </w:t>
      </w:r>
      <w:r w:rsidR="00F62FA8" w:rsidRPr="00C90D89">
        <w:rPr>
          <w:rFonts w:ascii="Times New Roman" w:hAnsi="Times New Roman" w:cs="Times New Roman"/>
          <w:szCs w:val="20"/>
          <w:u w:val="single"/>
        </w:rPr>
        <w:t>declarar</w:t>
      </w:r>
      <w:r w:rsidR="00F62FA8" w:rsidRPr="00C90D89">
        <w:rPr>
          <w:rFonts w:ascii="Times New Roman" w:hAnsi="Times New Roman" w:cs="Times New Roman"/>
          <w:szCs w:val="20"/>
        </w:rPr>
        <w:t>, incidentalmente, a inconstitucionalidade dos artigos 21</w:t>
      </w:r>
      <w:r w:rsidR="00E34A8A">
        <w:rPr>
          <w:rFonts w:ascii="Times New Roman" w:hAnsi="Times New Roman" w:cs="Times New Roman"/>
          <w:szCs w:val="20"/>
        </w:rPr>
        <w:t xml:space="preserve"> a 26 e do art. </w:t>
      </w:r>
      <w:r w:rsidR="00F62FA8" w:rsidRPr="00C90D89">
        <w:rPr>
          <w:rFonts w:ascii="Times New Roman" w:hAnsi="Times New Roman" w:cs="Times New Roman"/>
          <w:szCs w:val="20"/>
        </w:rPr>
        <w:t xml:space="preserve">218 da Resolução Normativa </w:t>
      </w:r>
      <w:r w:rsidR="00F62FA8" w:rsidRPr="00C90D89">
        <w:rPr>
          <w:rFonts w:ascii="Times New Roman" w:hAnsi="Times New Roman" w:cs="Times New Roman"/>
          <w:lang w:eastAsia="en-US"/>
        </w:rPr>
        <w:t>nº 414/2010 da ANEEL</w:t>
      </w:r>
      <w:r w:rsidR="00F62FA8" w:rsidRPr="00C90D89">
        <w:rPr>
          <w:rFonts w:ascii="Times New Roman" w:hAnsi="Times New Roman" w:cs="Times New Roman"/>
          <w:bCs/>
        </w:rPr>
        <w:t xml:space="preserve">, </w:t>
      </w:r>
      <w:r w:rsidR="008A6B02">
        <w:rPr>
          <w:rFonts w:ascii="Times New Roman" w:hAnsi="Times New Roman" w:cs="Times New Roman"/>
          <w:bCs/>
        </w:rPr>
        <w:t xml:space="preserve">com a sua consequente invalidação </w:t>
      </w:r>
      <w:r w:rsidR="00E34A8A">
        <w:rPr>
          <w:rFonts w:ascii="Times New Roman" w:hAnsi="Times New Roman" w:cs="Times New Roman"/>
          <w:bCs/>
        </w:rPr>
        <w:t xml:space="preserve">e, </w:t>
      </w:r>
      <w:r w:rsidR="008A6B02">
        <w:rPr>
          <w:rFonts w:ascii="Times New Roman" w:hAnsi="Times New Roman" w:cs="Times New Roman"/>
          <w:bCs/>
        </w:rPr>
        <w:t>com ela</w:t>
      </w:r>
      <w:r w:rsidR="00E34A8A">
        <w:rPr>
          <w:rFonts w:ascii="Times New Roman" w:hAnsi="Times New Roman" w:cs="Times New Roman"/>
          <w:bCs/>
        </w:rPr>
        <w:t xml:space="preserve">, </w:t>
      </w:r>
      <w:r w:rsidR="008A6B02">
        <w:rPr>
          <w:rFonts w:ascii="Times New Roman" w:hAnsi="Times New Roman" w:cs="Times New Roman"/>
          <w:bCs/>
        </w:rPr>
        <w:t xml:space="preserve">a </w:t>
      </w:r>
      <w:r w:rsidR="00E34A8A">
        <w:rPr>
          <w:rFonts w:ascii="Times New Roman" w:hAnsi="Times New Roman" w:cs="Times New Roman"/>
          <w:bCs/>
        </w:rPr>
        <w:t>subtra</w:t>
      </w:r>
      <w:r w:rsidR="008A6B02">
        <w:rPr>
          <w:rFonts w:ascii="Times New Roman" w:hAnsi="Times New Roman" w:cs="Times New Roman"/>
          <w:bCs/>
        </w:rPr>
        <w:t>ção</w:t>
      </w:r>
      <w:r w:rsidR="00E34A8A">
        <w:rPr>
          <w:rFonts w:ascii="Times New Roman" w:hAnsi="Times New Roman" w:cs="Times New Roman"/>
          <w:bCs/>
        </w:rPr>
        <w:t xml:space="preserve"> </w:t>
      </w:r>
      <w:r w:rsidR="008A6B02">
        <w:rPr>
          <w:rFonts w:ascii="Times New Roman" w:hAnsi="Times New Roman" w:cs="Times New Roman"/>
          <w:bCs/>
        </w:rPr>
        <w:t>de</w:t>
      </w:r>
      <w:r w:rsidR="00BD1245">
        <w:rPr>
          <w:rFonts w:ascii="Times New Roman" w:hAnsi="Times New Roman" w:cs="Times New Roman"/>
          <w:bCs/>
        </w:rPr>
        <w:t xml:space="preserve"> quaisquer</w:t>
      </w:r>
      <w:r w:rsidR="00E34A8A">
        <w:rPr>
          <w:rFonts w:ascii="Times New Roman" w:hAnsi="Times New Roman" w:cs="Times New Roman"/>
          <w:bCs/>
        </w:rPr>
        <w:t xml:space="preserve"> </w:t>
      </w:r>
      <w:r w:rsidR="00F62FA8" w:rsidRPr="00C90D89">
        <w:rPr>
          <w:rFonts w:ascii="Times New Roman" w:hAnsi="Times New Roman" w:cs="Times New Roman"/>
          <w:bCs/>
        </w:rPr>
        <w:t>efeitos jurídicos</w:t>
      </w:r>
      <w:r w:rsidR="008A6B02">
        <w:rPr>
          <w:rFonts w:ascii="Times New Roman" w:hAnsi="Times New Roman" w:cs="Times New Roman"/>
          <w:bCs/>
        </w:rPr>
        <w:t xml:space="preserve"> deles advindos</w:t>
      </w:r>
      <w:r w:rsidR="00F62FA8" w:rsidRPr="00C90D89">
        <w:rPr>
          <w:rFonts w:ascii="Times New Roman" w:hAnsi="Times New Roman" w:cs="Times New Roman"/>
          <w:bCs/>
        </w:rPr>
        <w:t>;</w:t>
      </w:r>
    </w:p>
    <w:p w14:paraId="2EE739B6" w14:textId="77777777" w:rsidR="00F62FA8" w:rsidRPr="00C90D89" w:rsidRDefault="00F62FA8" w:rsidP="005610C6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</w:p>
    <w:p w14:paraId="5FD942F8" w14:textId="49CD0265" w:rsidR="00F62FA8" w:rsidRPr="00C90D89" w:rsidRDefault="005610C6" w:rsidP="00F62FA8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 xml:space="preserve">- </w:t>
      </w:r>
      <w:r w:rsidR="00F62FA8" w:rsidRPr="00C90D89">
        <w:rPr>
          <w:rFonts w:ascii="Times New Roman" w:hAnsi="Times New Roman" w:cs="Times New Roman"/>
          <w:szCs w:val="20"/>
          <w:u w:val="single"/>
        </w:rPr>
        <w:t>determinar</w:t>
      </w:r>
      <w:r w:rsidR="00F62FA8" w:rsidRPr="00C90D89">
        <w:rPr>
          <w:rFonts w:ascii="Times New Roman" w:hAnsi="Times New Roman" w:cs="Times New Roman"/>
          <w:szCs w:val="20"/>
        </w:rPr>
        <w:t xml:space="preserve"> (em razão da </w:t>
      </w:r>
      <w:r w:rsidR="008A6B02">
        <w:rPr>
          <w:rFonts w:ascii="Times New Roman" w:hAnsi="Times New Roman" w:cs="Times New Roman"/>
          <w:szCs w:val="20"/>
        </w:rPr>
        <w:t>invalidação</w:t>
      </w:r>
      <w:r w:rsidR="00F62FA8" w:rsidRPr="00C90D89">
        <w:rPr>
          <w:rFonts w:ascii="Times New Roman" w:hAnsi="Times New Roman" w:cs="Times New Roman"/>
          <w:szCs w:val="20"/>
        </w:rPr>
        <w:t xml:space="preserve">) que </w:t>
      </w:r>
      <w:r w:rsidR="00F62FA8" w:rsidRPr="00C90D89">
        <w:rPr>
          <w:rFonts w:ascii="Times New Roman" w:hAnsi="Times New Roman" w:cs="Times New Roman"/>
          <w:bCs/>
        </w:rPr>
        <w:t xml:space="preserve">o Município autor fique desobrigado a receber o sistema de iluminação pública registrado como Ativo Imobilizado em Serviço – AIS, </w:t>
      </w:r>
      <w:r w:rsidR="00BD1245" w:rsidRPr="00C90D89">
        <w:rPr>
          <w:rFonts w:ascii="Times New Roman" w:hAnsi="Times New Roman" w:cs="Times New Roman"/>
          <w:szCs w:val="20"/>
        </w:rPr>
        <w:t>confirmando</w:t>
      </w:r>
      <w:r w:rsidR="00BD1245">
        <w:rPr>
          <w:rFonts w:ascii="Times New Roman" w:hAnsi="Times New Roman" w:cs="Times New Roman"/>
          <w:szCs w:val="20"/>
        </w:rPr>
        <w:t>-se, no ponto,</w:t>
      </w:r>
      <w:r w:rsidR="00BD1245" w:rsidRPr="00C90D89">
        <w:rPr>
          <w:rFonts w:ascii="Times New Roman" w:hAnsi="Times New Roman" w:cs="Times New Roman"/>
          <w:szCs w:val="20"/>
        </w:rPr>
        <w:t xml:space="preserve"> a liminar</w:t>
      </w:r>
      <w:r w:rsidR="00BD1245">
        <w:rPr>
          <w:rFonts w:ascii="Times New Roman" w:hAnsi="Times New Roman" w:cs="Times New Roman"/>
          <w:szCs w:val="20"/>
        </w:rPr>
        <w:t xml:space="preserve">, no sentido de que, em provimento definitivo, as rés devam se abster </w:t>
      </w:r>
      <w:r w:rsidR="00F62FA8" w:rsidRPr="00C90D89">
        <w:rPr>
          <w:rFonts w:ascii="Times New Roman" w:hAnsi="Times New Roman" w:cs="Times New Roman"/>
          <w:bCs/>
        </w:rPr>
        <w:t>de quaisquer atos destinados a realizar essa transferência.</w:t>
      </w:r>
    </w:p>
    <w:p w14:paraId="462EF152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015EA4DB" w14:textId="33E38089" w:rsidR="005B2959" w:rsidRDefault="005610C6" w:rsidP="005B2959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Cs w:val="20"/>
        </w:rPr>
        <w:t xml:space="preserve">c) </w:t>
      </w:r>
      <w:r w:rsidR="005B2959">
        <w:rPr>
          <w:rFonts w:ascii="Times New Roman" w:hAnsi="Times New Roman" w:cs="Times New Roman"/>
        </w:rPr>
        <w:t xml:space="preserve">concedida a liminar, seja intimado </w:t>
      </w:r>
      <w:r w:rsidR="005B2959" w:rsidRPr="00FC6607">
        <w:rPr>
          <w:rFonts w:ascii="Times New Roman" w:hAnsi="Times New Roman" w:cs="Times New Roman"/>
        </w:rPr>
        <w:t>o representante legal da autarquia ré</w:t>
      </w:r>
      <w:r w:rsidR="005B2959">
        <w:rPr>
          <w:rFonts w:ascii="Times New Roman" w:hAnsi="Times New Roman" w:cs="Times New Roman"/>
        </w:rPr>
        <w:t xml:space="preserve">, nos termos do </w:t>
      </w:r>
      <w:r w:rsidR="005B2959" w:rsidRPr="00FC6607">
        <w:rPr>
          <w:rFonts w:ascii="Times New Roman" w:hAnsi="Times New Roman" w:cs="Times New Roman"/>
        </w:rPr>
        <w:t>art. 1º, § 4º, da Lei n. 8.437/1992</w:t>
      </w:r>
      <w:r w:rsidR="005B2959">
        <w:rPr>
          <w:rFonts w:ascii="Times New Roman" w:hAnsi="Times New Roman" w:cs="Times New Roman"/>
        </w:rPr>
        <w:t>;</w:t>
      </w:r>
    </w:p>
    <w:p w14:paraId="4BA56702" w14:textId="77777777" w:rsidR="005B2959" w:rsidRDefault="005B2959" w:rsidP="005B2959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11ECA3E5" w14:textId="32D4C554" w:rsidR="005610C6" w:rsidRPr="00C90D89" w:rsidRDefault="005B2959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d)</w:t>
      </w:r>
      <w:r w:rsidR="005610C6" w:rsidRPr="00C90D89">
        <w:rPr>
          <w:rFonts w:ascii="Times New Roman" w:hAnsi="Times New Roman" w:cs="Times New Roman"/>
          <w:szCs w:val="20"/>
        </w:rPr>
        <w:t xml:space="preserve"> citação d</w:t>
      </w:r>
      <w:r w:rsidR="00BD1245">
        <w:rPr>
          <w:rFonts w:ascii="Times New Roman" w:hAnsi="Times New Roman" w:cs="Times New Roman"/>
          <w:szCs w:val="20"/>
        </w:rPr>
        <w:t>as ré</w:t>
      </w:r>
      <w:r w:rsidR="00A359FB" w:rsidRPr="00C90D89">
        <w:rPr>
          <w:rFonts w:ascii="Times New Roman" w:hAnsi="Times New Roman" w:cs="Times New Roman"/>
          <w:szCs w:val="20"/>
        </w:rPr>
        <w:t>s</w:t>
      </w:r>
      <w:r w:rsidR="005610C6" w:rsidRPr="00C90D89">
        <w:rPr>
          <w:rFonts w:ascii="Times New Roman" w:hAnsi="Times New Roman" w:cs="Times New Roman"/>
          <w:szCs w:val="20"/>
        </w:rPr>
        <w:t xml:space="preserve"> para contestar a presente ação, em querendo, </w:t>
      </w:r>
      <w:r w:rsidR="00611A7C" w:rsidRPr="00C90D89">
        <w:rPr>
          <w:rFonts w:ascii="Times New Roman" w:hAnsi="Times New Roman" w:cs="Times New Roman"/>
          <w:szCs w:val="20"/>
        </w:rPr>
        <w:t xml:space="preserve">sob pena de incidência dos efeitos da revelia aplicados à Fazenda Pública, com relação à autarquia, e sob </w:t>
      </w:r>
      <w:r w:rsidR="005610C6" w:rsidRPr="00C90D89">
        <w:rPr>
          <w:rFonts w:ascii="Times New Roman" w:hAnsi="Times New Roman" w:cs="Times New Roman"/>
          <w:szCs w:val="20"/>
        </w:rPr>
        <w:t>pena d</w:t>
      </w:r>
      <w:r w:rsidR="00611A7C" w:rsidRPr="00C90D89">
        <w:rPr>
          <w:rFonts w:ascii="Times New Roman" w:hAnsi="Times New Roman" w:cs="Times New Roman"/>
          <w:szCs w:val="20"/>
        </w:rPr>
        <w:t>a</w:t>
      </w:r>
      <w:r w:rsidR="005610C6" w:rsidRPr="00C90D89">
        <w:rPr>
          <w:rFonts w:ascii="Times New Roman" w:hAnsi="Times New Roman" w:cs="Times New Roman"/>
          <w:szCs w:val="20"/>
        </w:rPr>
        <w:t xml:space="preserve"> revelia</w:t>
      </w:r>
      <w:r w:rsidR="00BD1245">
        <w:rPr>
          <w:rFonts w:ascii="Times New Roman" w:hAnsi="Times New Roman" w:cs="Times New Roman"/>
          <w:szCs w:val="20"/>
        </w:rPr>
        <w:t xml:space="preserve"> convencional</w:t>
      </w:r>
      <w:r w:rsidR="005610C6" w:rsidRPr="00C90D89">
        <w:rPr>
          <w:rFonts w:ascii="Times New Roman" w:hAnsi="Times New Roman" w:cs="Times New Roman"/>
          <w:szCs w:val="20"/>
        </w:rPr>
        <w:t>, nos termos do art. 319 do CPC</w:t>
      </w:r>
      <w:r w:rsidR="00611A7C" w:rsidRPr="00C90D89">
        <w:rPr>
          <w:rFonts w:ascii="Times New Roman" w:hAnsi="Times New Roman" w:cs="Times New Roman"/>
          <w:szCs w:val="20"/>
        </w:rPr>
        <w:t>, com relação à concessionária</w:t>
      </w:r>
      <w:r w:rsidR="005610C6" w:rsidRPr="00C90D89">
        <w:rPr>
          <w:rFonts w:ascii="Times New Roman" w:hAnsi="Times New Roman" w:cs="Times New Roman"/>
          <w:szCs w:val="20"/>
        </w:rPr>
        <w:t>;</w:t>
      </w:r>
    </w:p>
    <w:p w14:paraId="3E583825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21B747F6" w14:textId="5A0099A1" w:rsidR="005610C6" w:rsidRPr="00C90D89" w:rsidRDefault="008A6B02" w:rsidP="00BD4343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</w:t>
      </w:r>
      <w:r w:rsidR="005610C6" w:rsidRPr="00C90D89">
        <w:rPr>
          <w:rFonts w:ascii="Times New Roman" w:hAnsi="Times New Roman" w:cs="Times New Roman"/>
          <w:szCs w:val="20"/>
        </w:rPr>
        <w:t xml:space="preserve">) a </w:t>
      </w:r>
      <w:proofErr w:type="spellStart"/>
      <w:r w:rsidR="005610C6" w:rsidRPr="00C90D89">
        <w:rPr>
          <w:rFonts w:ascii="Times New Roman" w:hAnsi="Times New Roman" w:cs="Times New Roman"/>
          <w:szCs w:val="20"/>
        </w:rPr>
        <w:t>oportunização</w:t>
      </w:r>
      <w:proofErr w:type="spellEnd"/>
      <w:r w:rsidR="005610C6" w:rsidRPr="00C90D89">
        <w:rPr>
          <w:rFonts w:ascii="Times New Roman" w:hAnsi="Times New Roman" w:cs="Times New Roman"/>
          <w:szCs w:val="20"/>
        </w:rPr>
        <w:t xml:space="preserve"> ao Ministério Público </w:t>
      </w:r>
      <w:r>
        <w:rPr>
          <w:rFonts w:ascii="Times New Roman" w:hAnsi="Times New Roman" w:cs="Times New Roman"/>
          <w:szCs w:val="20"/>
        </w:rPr>
        <w:t>Federal</w:t>
      </w:r>
      <w:r w:rsidR="005610C6" w:rsidRPr="00C90D89">
        <w:rPr>
          <w:rFonts w:ascii="Times New Roman" w:hAnsi="Times New Roman" w:cs="Times New Roman"/>
          <w:szCs w:val="20"/>
        </w:rPr>
        <w:t xml:space="preserve"> para oficiar no feito, sob pena de nulidade, nos termos do art. 82, III do CPC;</w:t>
      </w:r>
    </w:p>
    <w:p w14:paraId="0CE2B340" w14:textId="77777777" w:rsidR="00BD4343" w:rsidRPr="00C90D89" w:rsidRDefault="00BD4343" w:rsidP="00BD4343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0F507DB7" w14:textId="64129BFD" w:rsidR="005610C6" w:rsidRPr="00C90D89" w:rsidRDefault="008A6B02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</w:t>
      </w:r>
      <w:r w:rsidR="005610C6" w:rsidRPr="00C90D89">
        <w:rPr>
          <w:rFonts w:ascii="Times New Roman" w:hAnsi="Times New Roman" w:cs="Times New Roman"/>
          <w:szCs w:val="20"/>
        </w:rPr>
        <w:t xml:space="preserve">) </w:t>
      </w:r>
      <w:r w:rsidR="00BD4343" w:rsidRPr="00C90D89">
        <w:rPr>
          <w:rFonts w:ascii="Times New Roman" w:hAnsi="Times New Roman" w:cs="Times New Roman"/>
          <w:szCs w:val="20"/>
        </w:rPr>
        <w:t>a produção de todos os meios de prova em direito admitidos</w:t>
      </w:r>
      <w:r w:rsidR="005610C6" w:rsidRPr="00C90D89">
        <w:rPr>
          <w:rFonts w:ascii="Times New Roman" w:hAnsi="Times New Roman" w:cs="Times New Roman"/>
          <w:szCs w:val="20"/>
        </w:rPr>
        <w:t>;</w:t>
      </w:r>
    </w:p>
    <w:p w14:paraId="1DF384B0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</w:rPr>
      </w:pPr>
    </w:p>
    <w:p w14:paraId="2236180D" w14:textId="1FD44BB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g) </w:t>
      </w:r>
      <w:r w:rsidR="00BD4343" w:rsidRPr="00C90D89">
        <w:rPr>
          <w:rFonts w:ascii="Times New Roman" w:hAnsi="Times New Roman" w:cs="Times New Roman"/>
        </w:rPr>
        <w:t>a condenação d</w:t>
      </w:r>
      <w:r w:rsidR="008A6B02">
        <w:rPr>
          <w:rFonts w:ascii="Times New Roman" w:hAnsi="Times New Roman" w:cs="Times New Roman"/>
        </w:rPr>
        <w:t>as</w:t>
      </w:r>
      <w:r w:rsidR="00BD4343" w:rsidRPr="00C90D89">
        <w:rPr>
          <w:rFonts w:ascii="Times New Roman" w:hAnsi="Times New Roman" w:cs="Times New Roman"/>
        </w:rPr>
        <w:t xml:space="preserve"> ré</w:t>
      </w:r>
      <w:r w:rsidR="008A6B02">
        <w:rPr>
          <w:rFonts w:ascii="Times New Roman" w:hAnsi="Times New Roman" w:cs="Times New Roman"/>
        </w:rPr>
        <w:t>s</w:t>
      </w:r>
      <w:r w:rsidR="00BD4343" w:rsidRPr="00C90D89">
        <w:rPr>
          <w:rFonts w:ascii="Times New Roman" w:hAnsi="Times New Roman" w:cs="Times New Roman"/>
        </w:rPr>
        <w:t xml:space="preserve">, ao final do processo, ao pagamento das custas processuais e honorários advocatícios, </w:t>
      </w:r>
      <w:r w:rsidRPr="00C90D89">
        <w:rPr>
          <w:rFonts w:ascii="Times New Roman" w:hAnsi="Times New Roman" w:cs="Times New Roman"/>
        </w:rPr>
        <w:t xml:space="preserve">conforme o art. 20, § 4º do CPC, em valor condizente com o trabalho apresentado. </w:t>
      </w:r>
    </w:p>
    <w:p w14:paraId="10456279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          </w:t>
      </w:r>
    </w:p>
    <w:p w14:paraId="50DF74D4" w14:textId="433FDD34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Dá-se à causa o valor de alçada (R$ </w:t>
      </w:r>
      <w:r w:rsidRPr="00C90D89">
        <w:rPr>
          <w:rFonts w:ascii="Times New Roman" w:hAnsi="Times New Roman" w:cs="Times New Roman"/>
          <w:color w:val="FF0000"/>
        </w:rPr>
        <w:t>X.XXX,XX</w:t>
      </w:r>
      <w:r w:rsidRPr="00C90D89">
        <w:rPr>
          <w:rFonts w:ascii="Times New Roman" w:hAnsi="Times New Roman" w:cs="Times New Roman"/>
        </w:rPr>
        <w:t>).</w:t>
      </w:r>
    </w:p>
    <w:p w14:paraId="2791BDB0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1D26C628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Nestes termos, pede e espera deferimento. </w:t>
      </w:r>
    </w:p>
    <w:p w14:paraId="738CAF5D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013ABB7D" w14:textId="77777777" w:rsidR="0062778B" w:rsidRPr="00C90D89" w:rsidRDefault="0062778B" w:rsidP="0062778B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color w:val="FF0000"/>
        </w:rPr>
        <w:t>XXXXX</w:t>
      </w:r>
      <w:r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  <w:color w:val="FF0000"/>
        </w:rPr>
        <w:t>XX</w:t>
      </w:r>
      <w:r w:rsidRPr="00C90D89">
        <w:rPr>
          <w:rFonts w:ascii="Times New Roman" w:hAnsi="Times New Roman" w:cs="Times New Roman"/>
        </w:rPr>
        <w:t xml:space="preserve"> de </w:t>
      </w:r>
      <w:r w:rsidRPr="00C90D89">
        <w:rPr>
          <w:rFonts w:ascii="Times New Roman" w:hAnsi="Times New Roman" w:cs="Times New Roman"/>
          <w:color w:val="FF0000"/>
        </w:rPr>
        <w:t>XXXXX</w:t>
      </w:r>
      <w:r w:rsidRPr="00C90D89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6</w:t>
      </w:r>
      <w:r w:rsidRPr="00C90D89">
        <w:rPr>
          <w:rFonts w:ascii="Times New Roman" w:hAnsi="Times New Roman" w:cs="Times New Roman"/>
        </w:rPr>
        <w:t>.</w:t>
      </w:r>
    </w:p>
    <w:p w14:paraId="45375C03" w14:textId="77777777" w:rsidR="0062778B" w:rsidRDefault="0062778B" w:rsidP="0062778B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77D1C25E" w14:textId="77777777" w:rsidR="0062778B" w:rsidRDefault="0062778B" w:rsidP="0062778B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451A8F4D" w14:textId="77777777" w:rsidR="0062778B" w:rsidRPr="00C90D89" w:rsidRDefault="0062778B" w:rsidP="0062778B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26F86041" w14:textId="77777777" w:rsidR="0062778B" w:rsidRDefault="0062778B" w:rsidP="0062778B">
      <w:pPr>
        <w:pStyle w:val="NormalWeb"/>
        <w:spacing w:before="0" w:after="0" w:line="360" w:lineRule="auto"/>
        <w:ind w:right="72" w:firstLine="708"/>
        <w:rPr>
          <w:rFonts w:ascii="Times New Roman" w:hAnsi="Times New Roman" w:cs="Times New Roman"/>
        </w:rPr>
      </w:pP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5070"/>
        <w:gridCol w:w="5631"/>
      </w:tblGrid>
      <w:tr w:rsidR="0062778B" w:rsidRPr="00EE690C" w14:paraId="2EE31605" w14:textId="77777777" w:rsidTr="004C13D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1916AF1" w14:textId="77777777" w:rsidR="0062778B" w:rsidRPr="00F745EF" w:rsidRDefault="0062778B" w:rsidP="004C13D8">
            <w:pPr>
              <w:pStyle w:val="NormalWeb"/>
              <w:spacing w:before="0" w:after="0"/>
              <w:ind w:right="74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F745EF">
              <w:rPr>
                <w:rFonts w:ascii="Times New Roman" w:hAnsi="Times New Roman" w:cs="Times New Roman"/>
                <w:b/>
                <w:color w:val="FF0000"/>
                <w:lang w:val="en-US"/>
              </w:rPr>
              <w:t>Procurador</w:t>
            </w:r>
            <w:proofErr w:type="spellEnd"/>
          </w:p>
          <w:p w14:paraId="62C06468" w14:textId="77777777" w:rsidR="0062778B" w:rsidRDefault="0062778B" w:rsidP="004C13D8">
            <w:pPr>
              <w:pStyle w:val="NormalWeb"/>
              <w:spacing w:before="0" w:after="0" w:line="36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90C">
              <w:rPr>
                <w:rFonts w:ascii="Times New Roman" w:hAnsi="Times New Roman" w:cs="Times New Roman"/>
                <w:lang w:val="en-US"/>
              </w:rPr>
              <w:t>OAB/</w:t>
            </w:r>
            <w:r w:rsidRPr="00F745EF">
              <w:rPr>
                <w:rFonts w:ascii="Times New Roman" w:hAnsi="Times New Roman" w:cs="Times New Roman"/>
                <w:color w:val="FF0000"/>
                <w:lang w:val="en-US"/>
              </w:rPr>
              <w:t>XX XX.XXX</w:t>
            </w:r>
          </w:p>
          <w:p w14:paraId="09D8E737" w14:textId="77777777" w:rsidR="0062778B" w:rsidRPr="00EE690C" w:rsidRDefault="0062778B" w:rsidP="004C13D8">
            <w:pPr>
              <w:pStyle w:val="NormalWeb"/>
              <w:spacing w:before="0" w:after="0" w:line="360" w:lineRule="auto"/>
              <w:ind w:right="7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612ADF01" w14:textId="77777777" w:rsidR="0062778B" w:rsidRPr="00F745EF" w:rsidRDefault="0062778B" w:rsidP="004C13D8">
            <w:pPr>
              <w:pStyle w:val="NormalWeb"/>
              <w:spacing w:before="0" w:after="0"/>
              <w:ind w:right="74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F745EF">
              <w:rPr>
                <w:rFonts w:ascii="Times New Roman" w:hAnsi="Times New Roman" w:cs="Times New Roman"/>
                <w:b/>
                <w:color w:val="FF0000"/>
                <w:lang w:val="en-US"/>
              </w:rPr>
              <w:t>Procurador</w:t>
            </w:r>
            <w:proofErr w:type="spellEnd"/>
          </w:p>
          <w:p w14:paraId="44BA01C7" w14:textId="77777777" w:rsidR="0062778B" w:rsidRPr="00EE690C" w:rsidRDefault="0062778B" w:rsidP="004C13D8">
            <w:pPr>
              <w:pStyle w:val="NormalWeb"/>
              <w:spacing w:before="0" w:after="0"/>
              <w:ind w:left="33" w:right="74"/>
              <w:jc w:val="center"/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  <w:lang w:val="en-US"/>
              </w:rPr>
              <w:t>OAB/</w:t>
            </w:r>
            <w:r w:rsidRPr="00F745EF">
              <w:rPr>
                <w:rFonts w:ascii="Times New Roman" w:hAnsi="Times New Roman" w:cs="Times New Roman"/>
                <w:color w:val="FF0000"/>
                <w:lang w:val="en-US"/>
              </w:rPr>
              <w:t>XX XX.XXX</w:t>
            </w:r>
          </w:p>
        </w:tc>
      </w:tr>
    </w:tbl>
    <w:p w14:paraId="737143D6" w14:textId="407C7253" w:rsidR="005610C6" w:rsidRPr="00C90D89" w:rsidRDefault="005610C6" w:rsidP="0062778B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5610C6" w:rsidRPr="00C90D89" w:rsidSect="00771FA9">
      <w:footerReference w:type="even" r:id="rId9"/>
      <w:footerReference w:type="default" r:id="rId10"/>
      <w:pgSz w:w="11900" w:h="16840"/>
      <w:pgMar w:top="1134" w:right="1134" w:bottom="1134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E8BD" w14:textId="77777777" w:rsidR="00681622" w:rsidRDefault="00681622" w:rsidP="00681622">
      <w:r>
        <w:separator/>
      </w:r>
    </w:p>
  </w:endnote>
  <w:endnote w:type="continuationSeparator" w:id="0">
    <w:p w14:paraId="698BF16B" w14:textId="77777777" w:rsidR="00681622" w:rsidRDefault="00681622" w:rsidP="006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8AD2" w14:textId="77777777" w:rsidR="00210BC5" w:rsidRDefault="00210BC5" w:rsidP="00210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54B59" w14:textId="77777777" w:rsidR="00210BC5" w:rsidRDefault="00210BC5" w:rsidP="00210B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5626F" w14:textId="77777777" w:rsidR="00210BC5" w:rsidRPr="00206E3F" w:rsidRDefault="00210BC5" w:rsidP="00210BC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06E3F">
      <w:rPr>
        <w:rStyle w:val="PageNumber"/>
        <w:rFonts w:ascii="Times New Roman" w:hAnsi="Times New Roman" w:cs="Times New Roman"/>
      </w:rPr>
      <w:fldChar w:fldCharType="begin"/>
    </w:r>
    <w:r w:rsidRPr="00206E3F">
      <w:rPr>
        <w:rStyle w:val="PageNumber"/>
        <w:rFonts w:ascii="Times New Roman" w:hAnsi="Times New Roman" w:cs="Times New Roman"/>
      </w:rPr>
      <w:instrText xml:space="preserve">PAGE  </w:instrText>
    </w:r>
    <w:r w:rsidRPr="00206E3F">
      <w:rPr>
        <w:rStyle w:val="PageNumber"/>
        <w:rFonts w:ascii="Times New Roman" w:hAnsi="Times New Roman" w:cs="Times New Roman"/>
      </w:rPr>
      <w:fldChar w:fldCharType="separate"/>
    </w:r>
    <w:r w:rsidR="0062778B">
      <w:rPr>
        <w:rStyle w:val="PageNumber"/>
        <w:rFonts w:ascii="Times New Roman" w:hAnsi="Times New Roman" w:cs="Times New Roman"/>
        <w:noProof/>
      </w:rPr>
      <w:t>23</w:t>
    </w:r>
    <w:r w:rsidRPr="00206E3F">
      <w:rPr>
        <w:rStyle w:val="PageNumber"/>
        <w:rFonts w:ascii="Times New Roman" w:hAnsi="Times New Roman" w:cs="Times New Roman"/>
      </w:rPr>
      <w:fldChar w:fldCharType="end"/>
    </w:r>
  </w:p>
  <w:p w14:paraId="1969F414" w14:textId="77777777" w:rsidR="00210BC5" w:rsidRPr="00206E3F" w:rsidRDefault="00210BC5" w:rsidP="00210BC5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BD3B" w14:textId="77777777" w:rsidR="00681622" w:rsidRDefault="00681622" w:rsidP="00681622">
      <w:r>
        <w:separator/>
      </w:r>
    </w:p>
  </w:footnote>
  <w:footnote w:type="continuationSeparator" w:id="0">
    <w:p w14:paraId="4561D9B2" w14:textId="77777777" w:rsidR="00681622" w:rsidRDefault="00681622" w:rsidP="00681622">
      <w:r>
        <w:continuationSeparator/>
      </w:r>
    </w:p>
  </w:footnote>
  <w:footnote w:id="1">
    <w:p w14:paraId="637D1580" w14:textId="436AA26B" w:rsidR="008B528C" w:rsidRPr="00A01038" w:rsidRDefault="008B528C" w:rsidP="008B528C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JFSP.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Sentença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ação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ordinária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n. 0000047-95.2013.4.03.6111. </w:t>
      </w:r>
      <w:proofErr w:type="spellStart"/>
      <w:r w:rsidR="00B618D9" w:rsidRPr="00A01038">
        <w:rPr>
          <w:rFonts w:ascii="Times New Roman" w:hAnsi="Times New Roman" w:cs="Times New Roman"/>
          <w:sz w:val="20"/>
          <w:szCs w:val="20"/>
          <w:lang w:val="en-US"/>
        </w:rPr>
        <w:t>Publicada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: 19-09-2013.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Disponível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>: &lt;http://csp.jfsp.jus.br/csp/consulta/consinternetpro1b.csp</w:t>
      </w:r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?nromovimento</w:t>
      </w:r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=39&gt;.   </w:t>
      </w:r>
    </w:p>
  </w:footnote>
  <w:footnote w:id="2">
    <w:p w14:paraId="469EBB47" w14:textId="2C9F517F" w:rsidR="00B618D9" w:rsidRPr="00A01038" w:rsidRDefault="00B618D9" w:rsidP="00B618D9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Inquérito Civil Público n. 1.34.003.000034/2013-63. Petição inicial da ação civil pública. Disponível em: &lt;http://www.fne.org.br/pages/fne/files/pdf/acao_civil_publica_mpf_x_aneel.pdf&gt;.</w:t>
      </w:r>
    </w:p>
  </w:footnote>
  <w:footnote w:id="3">
    <w:p w14:paraId="4F2C48FD" w14:textId="4673CD8C" w:rsidR="00B618D9" w:rsidRPr="00A01038" w:rsidRDefault="00B618D9" w:rsidP="00B618D9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JFSP.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Sentença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ação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ordinária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n. 0004567-10.2013.4.03.6108.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Publicada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: 14-02-2014.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Disponível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>: &lt;http://csp.jfsp.jus.br/csp/consulta/consinternetpro1b.csp</w:t>
      </w:r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?nromovimento</w:t>
      </w:r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>=32&gt;.</w:t>
      </w:r>
    </w:p>
  </w:footnote>
  <w:footnote w:id="4">
    <w:p w14:paraId="56F39205" w14:textId="067F4AE2" w:rsidR="00422950" w:rsidRPr="00A01038" w:rsidRDefault="00422950" w:rsidP="00EC5446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="00EC5446" w:rsidRPr="00A01038">
        <w:rPr>
          <w:rFonts w:ascii="Times New Roman" w:hAnsi="Times New Roman" w:cs="Times New Roman"/>
          <w:sz w:val="20"/>
          <w:szCs w:val="20"/>
        </w:rPr>
        <w:t>“</w:t>
      </w:r>
      <w:r w:rsidR="00EC5446" w:rsidRPr="00A01038">
        <w:rPr>
          <w:rFonts w:ascii="Times New Roman" w:hAnsi="Times New Roman" w:cs="Times New Roman"/>
          <w:bCs/>
          <w:sz w:val="20"/>
          <w:szCs w:val="20"/>
        </w:rPr>
        <w:t xml:space="preserve">Reconhecida a abrangência nacional do conflito, cumpre definir o juízo competente, destacando-se que, ante o interesse da ANEEL no </w:t>
      </w:r>
      <w:proofErr w:type="spellStart"/>
      <w:r w:rsidR="00EC5446" w:rsidRPr="00A01038">
        <w:rPr>
          <w:rFonts w:ascii="Times New Roman" w:hAnsi="Times New Roman" w:cs="Times New Roman"/>
          <w:bCs/>
          <w:sz w:val="20"/>
          <w:szCs w:val="20"/>
        </w:rPr>
        <w:t>pólo</w:t>
      </w:r>
      <w:proofErr w:type="spellEnd"/>
      <w:r w:rsidR="00EC5446" w:rsidRPr="00A01038">
        <w:rPr>
          <w:rFonts w:ascii="Times New Roman" w:hAnsi="Times New Roman" w:cs="Times New Roman"/>
          <w:bCs/>
          <w:sz w:val="20"/>
          <w:szCs w:val="20"/>
        </w:rPr>
        <w:t xml:space="preserve"> passivo de todas as demandas, a competência é, indubitavelmente, da Justiça Federal (art. 109, I, da Constituição Federal).”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STJ.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Primeira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01038" w:rsidRPr="00A01038">
        <w:rPr>
          <w:rFonts w:ascii="Times New Roman" w:hAnsi="Times New Roman" w:cs="Times New Roman"/>
          <w:sz w:val="20"/>
          <w:szCs w:val="20"/>
          <w:lang w:val="en-US"/>
        </w:rPr>
        <w:t>CC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126</w:t>
      </w:r>
      <w:r w:rsidR="0063495F" w:rsidRPr="00A0103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601/MG. DJ 05-12-2013. </w:t>
      </w:r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Relator Min. Mauro Campbell Marques.</w:t>
      </w:r>
      <w:proofErr w:type="gramEnd"/>
    </w:p>
  </w:footnote>
  <w:footnote w:id="5">
    <w:p w14:paraId="0C33AD3A" w14:textId="338EC098" w:rsidR="0063495F" w:rsidRPr="00A01038" w:rsidRDefault="0063495F" w:rsidP="00EC5446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STJ.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Primeira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>. CC 2.493/DF</w:t>
      </w:r>
      <w:r w:rsidR="00A01038"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DJ 03-08-1992.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Rel. Min.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Humberto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Gomes de Barros</w:t>
      </w:r>
      <w:r w:rsidR="00A01038"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</w:footnote>
  <w:footnote w:id="6">
    <w:p w14:paraId="5282C98F" w14:textId="77777777" w:rsidR="007B59BB" w:rsidRPr="00A01038" w:rsidRDefault="007B59BB" w:rsidP="007B59BB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DI PIETRO, Maria Sylvia Zanella. Limites da função reguladora das agências diante do princípio da legalidade. In: _____ (org.). </w:t>
      </w:r>
      <w:r w:rsidRPr="00A01038">
        <w:rPr>
          <w:rFonts w:ascii="Times New Roman" w:hAnsi="Times New Roman" w:cs="Times New Roman"/>
          <w:i/>
          <w:sz w:val="20"/>
          <w:szCs w:val="20"/>
        </w:rPr>
        <w:t>Direito Regulatório</w:t>
      </w:r>
      <w:r w:rsidRPr="00A01038">
        <w:rPr>
          <w:rFonts w:ascii="Times New Roman" w:hAnsi="Times New Roman" w:cs="Times New Roman"/>
          <w:sz w:val="20"/>
          <w:szCs w:val="20"/>
        </w:rPr>
        <w:t>: temas polêmicos. Belo Horizonte: Fórum, 2003, p. 58-9.</w:t>
      </w:r>
    </w:p>
  </w:footnote>
  <w:footnote w:id="7">
    <w:p w14:paraId="3BBCC5E4" w14:textId="31EE3008" w:rsidR="00E7357D" w:rsidRPr="00A01038" w:rsidRDefault="00E7357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GASPARINI, Diógenes. </w:t>
      </w:r>
      <w:r w:rsidRPr="00A01038">
        <w:rPr>
          <w:rFonts w:ascii="Times New Roman" w:hAnsi="Times New Roman" w:cs="Times New Roman"/>
          <w:i/>
          <w:sz w:val="20"/>
          <w:szCs w:val="20"/>
        </w:rPr>
        <w:t>Direito Administrativo</w:t>
      </w:r>
      <w:r w:rsidRPr="00A01038">
        <w:rPr>
          <w:rFonts w:ascii="Times New Roman" w:hAnsi="Times New Roman" w:cs="Times New Roman"/>
          <w:sz w:val="20"/>
          <w:szCs w:val="20"/>
        </w:rPr>
        <w:t>. 16ª ed. São Paulo: Saraiva, 2011, p. 113-4.</w:t>
      </w:r>
    </w:p>
  </w:footnote>
  <w:footnote w:id="8">
    <w:p w14:paraId="4BB06868" w14:textId="23C00548" w:rsidR="001A2D25" w:rsidRPr="00A01038" w:rsidRDefault="001A2D25" w:rsidP="001A2D25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Sobre o tema, vide: MARQUES NETO, Floriano de Azevedo. Regime jurídicos dos bens públicos empregados na geração de energia. In: </w:t>
      </w:r>
      <w:r w:rsidRPr="00A01038">
        <w:rPr>
          <w:rFonts w:ascii="Times New Roman" w:hAnsi="Times New Roman" w:cs="Times New Roman"/>
          <w:i/>
          <w:sz w:val="20"/>
          <w:szCs w:val="20"/>
        </w:rPr>
        <w:t>Revista de Direito Constitucional e Internacional</w:t>
      </w:r>
      <w:r w:rsidRPr="00A01038">
        <w:rPr>
          <w:rFonts w:ascii="Times New Roman" w:hAnsi="Times New Roman" w:cs="Times New Roman"/>
          <w:sz w:val="20"/>
          <w:szCs w:val="20"/>
        </w:rPr>
        <w:t>, n. 50, Forense, jan./mar. 2005</w:t>
      </w:r>
      <w:r w:rsidR="000012AB" w:rsidRPr="00A01038">
        <w:rPr>
          <w:rFonts w:ascii="Times New Roman" w:hAnsi="Times New Roman" w:cs="Times New Roman"/>
          <w:sz w:val="20"/>
          <w:szCs w:val="20"/>
        </w:rPr>
        <w:t>, p. 77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9">
    <w:p w14:paraId="271DF5DA" w14:textId="56A69C5A" w:rsidR="0059278E" w:rsidRPr="00A01038" w:rsidRDefault="0059278E" w:rsidP="00ED5FC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S</w:t>
      </w:r>
      <w:r w:rsidR="00A01038" w:rsidRPr="00A01038">
        <w:rPr>
          <w:rFonts w:ascii="Times New Roman" w:hAnsi="Times New Roman" w:cs="Times New Roman"/>
          <w:sz w:val="20"/>
          <w:szCs w:val="20"/>
        </w:rPr>
        <w:t>TF. Tribunal Pleno. ADI</w:t>
      </w:r>
      <w:r w:rsidRPr="00A01038">
        <w:rPr>
          <w:rFonts w:ascii="Times New Roman" w:hAnsi="Times New Roman" w:cs="Times New Roman"/>
          <w:sz w:val="20"/>
          <w:szCs w:val="20"/>
        </w:rPr>
        <w:t xml:space="preserve"> 2.349/ES. </w:t>
      </w:r>
      <w:r w:rsidR="00A01038" w:rsidRPr="00A01038">
        <w:rPr>
          <w:rFonts w:ascii="Times New Roman" w:hAnsi="Times New Roman" w:cs="Times New Roman"/>
          <w:sz w:val="20"/>
          <w:szCs w:val="20"/>
        </w:rPr>
        <w:t xml:space="preserve">DJ 14-10-2005. </w:t>
      </w:r>
      <w:r w:rsidRPr="00A01038">
        <w:rPr>
          <w:rFonts w:ascii="Times New Roman" w:hAnsi="Times New Roman" w:cs="Times New Roman"/>
          <w:sz w:val="20"/>
          <w:szCs w:val="20"/>
        </w:rPr>
        <w:t xml:space="preserve">Relator Min. Eros Grau. </w:t>
      </w:r>
    </w:p>
  </w:footnote>
  <w:footnote w:id="10">
    <w:p w14:paraId="6BC16347" w14:textId="624AA526" w:rsidR="00ED5FC7" w:rsidRPr="00A01038" w:rsidRDefault="00ED5FC7" w:rsidP="00ED5FC7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FREITAS, Juarez. </w:t>
      </w:r>
      <w:proofErr w:type="gram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proofErr w:type="gramEnd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Interpretação</w:t>
      </w:r>
      <w:proofErr w:type="spellEnd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Sistemática</w:t>
      </w:r>
      <w:proofErr w:type="spellEnd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do </w:t>
      </w:r>
      <w:proofErr w:type="spell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Direito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4ª ed. São Paulo: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Malheiros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, 2004, p. 62. </w:t>
      </w:r>
    </w:p>
  </w:footnote>
  <w:footnote w:id="11">
    <w:p w14:paraId="12DDF84B" w14:textId="4948ECAE" w:rsidR="0059278E" w:rsidRPr="00A01038" w:rsidRDefault="0059278E" w:rsidP="00ED5FC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="00A01038" w:rsidRPr="00A01038">
        <w:rPr>
          <w:rFonts w:ascii="Times New Roman" w:hAnsi="Times New Roman" w:cs="Times New Roman"/>
          <w:sz w:val="20"/>
          <w:szCs w:val="20"/>
        </w:rPr>
        <w:t>STF. Tribunal Pleno. ADI</w:t>
      </w:r>
      <w:r w:rsidRPr="00A01038">
        <w:rPr>
          <w:rFonts w:ascii="Times New Roman" w:hAnsi="Times New Roman" w:cs="Times New Roman"/>
          <w:sz w:val="20"/>
          <w:szCs w:val="20"/>
        </w:rPr>
        <w:t xml:space="preserve"> 3.847/SC. </w:t>
      </w:r>
      <w:r w:rsidR="00A01038" w:rsidRPr="00A01038">
        <w:rPr>
          <w:rFonts w:ascii="Times New Roman" w:hAnsi="Times New Roman" w:cs="Times New Roman"/>
          <w:sz w:val="20"/>
          <w:szCs w:val="20"/>
        </w:rPr>
        <w:t xml:space="preserve">DJ 09-03-2012. </w:t>
      </w:r>
      <w:r w:rsidRPr="00A01038">
        <w:rPr>
          <w:rFonts w:ascii="Times New Roman" w:hAnsi="Times New Roman" w:cs="Times New Roman"/>
          <w:sz w:val="20"/>
          <w:szCs w:val="20"/>
        </w:rPr>
        <w:t xml:space="preserve">Relator Min. Gilmar Mendes. </w:t>
      </w:r>
    </w:p>
  </w:footnote>
  <w:footnote w:id="12">
    <w:p w14:paraId="17E3C61B" w14:textId="398E5AFF" w:rsidR="00706E1D" w:rsidRPr="00706E1D" w:rsidRDefault="00706E1D" w:rsidP="00706E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06E1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06E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706E1D">
        <w:rPr>
          <w:rFonts w:ascii="Times New Roman" w:hAnsi="Times New Roman" w:cs="Times New Roman"/>
          <w:sz w:val="20"/>
          <w:szCs w:val="20"/>
        </w:rPr>
        <w:t>Art. 8º O estabelecimento de redes de distribuição e o comércio de energia elétrica dependem exclusivamente de concessão ou autorização federal.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6E1D">
        <w:rPr>
          <w:rFonts w:ascii="Times New Roman" w:hAnsi="Times New Roman" w:cs="Times New Roman"/>
          <w:sz w:val="20"/>
          <w:szCs w:val="20"/>
        </w:rPr>
        <w:t xml:space="preserve">Parágrafo único. Os fornecimentos de energia elétrica para serviços de iluminação pública, ou para quaisquer serviços públicos de </w:t>
      </w:r>
      <w:proofErr w:type="spellStart"/>
      <w:r w:rsidRPr="00706E1D">
        <w:rPr>
          <w:rFonts w:ascii="Times New Roman" w:hAnsi="Times New Roman" w:cs="Times New Roman"/>
          <w:sz w:val="20"/>
          <w:szCs w:val="20"/>
        </w:rPr>
        <w:t>carater</w:t>
      </w:r>
      <w:proofErr w:type="spellEnd"/>
      <w:r w:rsidRPr="00706E1D">
        <w:rPr>
          <w:rFonts w:ascii="Times New Roman" w:hAnsi="Times New Roman" w:cs="Times New Roman"/>
          <w:sz w:val="20"/>
          <w:szCs w:val="20"/>
        </w:rPr>
        <w:t xml:space="preserve"> local explorados pelas municipalidades, serão regulados por contratos de fornecimentos entre estas e os concessionários ou contratantes, observado o disposto nos respectivos contratos de concessão ou de exploração, celebrados com o Governo Federal, para distribuição de energia elétrica na zona em que se encontrar o município interessado.</w:t>
      </w:r>
      <w:r>
        <w:rPr>
          <w:rFonts w:ascii="Times New Roman" w:hAnsi="Times New Roman" w:cs="Times New Roman"/>
          <w:sz w:val="20"/>
          <w:szCs w:val="20"/>
        </w:rPr>
        <w:t>”</w:t>
      </w:r>
    </w:p>
  </w:footnote>
  <w:footnote w:id="13">
    <w:p w14:paraId="3464C8AC" w14:textId="40961E7C" w:rsidR="0034513D" w:rsidRPr="00A01038" w:rsidRDefault="0034513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BOBBIO, Norberto. </w:t>
      </w:r>
      <w:r w:rsidRPr="00A01038">
        <w:rPr>
          <w:rFonts w:ascii="Times New Roman" w:hAnsi="Times New Roman" w:cs="Times New Roman"/>
          <w:i/>
          <w:sz w:val="20"/>
          <w:szCs w:val="20"/>
        </w:rPr>
        <w:t>Teoria Geral do Direito</w:t>
      </w:r>
      <w:r w:rsidRPr="00A01038">
        <w:rPr>
          <w:rFonts w:ascii="Times New Roman" w:hAnsi="Times New Roman" w:cs="Times New Roman"/>
          <w:sz w:val="20"/>
          <w:szCs w:val="20"/>
        </w:rPr>
        <w:t xml:space="preserve">. Tradução de Denise </w:t>
      </w:r>
      <w:proofErr w:type="spellStart"/>
      <w:r w:rsidRPr="00A01038">
        <w:rPr>
          <w:rFonts w:ascii="Times New Roman" w:hAnsi="Times New Roman" w:cs="Times New Roman"/>
          <w:sz w:val="20"/>
          <w:szCs w:val="20"/>
        </w:rPr>
        <w:t>Agostinetti</w:t>
      </w:r>
      <w:proofErr w:type="spellEnd"/>
      <w:r w:rsidRPr="00A01038">
        <w:rPr>
          <w:rFonts w:ascii="Times New Roman" w:hAnsi="Times New Roman" w:cs="Times New Roman"/>
          <w:sz w:val="20"/>
          <w:szCs w:val="20"/>
        </w:rPr>
        <w:t>. 3ª ed. São Paulo: Martins Fontes, 2010, p. 253.</w:t>
      </w:r>
    </w:p>
  </w:footnote>
  <w:footnote w:id="14">
    <w:p w14:paraId="0413A4C1" w14:textId="702100BC" w:rsidR="00465B10" w:rsidRPr="00A01038" w:rsidRDefault="00465B10" w:rsidP="00EC5446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="00A01038" w:rsidRPr="00A01038">
        <w:rPr>
          <w:rFonts w:ascii="Times New Roman" w:hAnsi="Times New Roman" w:cs="Times New Roman"/>
          <w:sz w:val="20"/>
          <w:szCs w:val="20"/>
        </w:rPr>
        <w:t>“[...] na eventualidade de surgir conflito entre as pessoas políticas no desempenho de atribuições que lhes sejam comuns – como sucederia, p. ex., no exercício da competência material a que aludem os incisos VI e VII do art. 23 da Constituição –, tal situação de antagonismo resolver-se-á mediante aplicação do critério da preponderância do interesse e, quando tal for possível, pela utilização do critério da cooperação entre as entidades integrantes da Federação [...].” STF. Tribunal Pleno. AC 1255 MC-</w:t>
      </w:r>
      <w:proofErr w:type="spellStart"/>
      <w:r w:rsidR="00A01038" w:rsidRPr="00A01038">
        <w:rPr>
          <w:rFonts w:ascii="Times New Roman" w:hAnsi="Times New Roman" w:cs="Times New Roman"/>
          <w:sz w:val="20"/>
          <w:szCs w:val="20"/>
        </w:rPr>
        <w:t>AgR</w:t>
      </w:r>
      <w:proofErr w:type="spellEnd"/>
      <w:r w:rsidR="00A01038" w:rsidRPr="00A01038">
        <w:rPr>
          <w:rFonts w:ascii="Times New Roman" w:hAnsi="Times New Roman" w:cs="Times New Roman"/>
          <w:sz w:val="20"/>
          <w:szCs w:val="20"/>
        </w:rPr>
        <w:t xml:space="preserve">/RR. DJ 30-10-2014. </w:t>
      </w:r>
      <w:r w:rsidR="008802CE" w:rsidRPr="00A01038">
        <w:rPr>
          <w:rFonts w:ascii="Times New Roman" w:hAnsi="Times New Roman" w:cs="Times New Roman"/>
          <w:sz w:val="20"/>
          <w:szCs w:val="20"/>
        </w:rPr>
        <w:t>Relator Min. Celso de Mello</w:t>
      </w:r>
      <w:r w:rsidR="00A01038" w:rsidRPr="00A01038"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14:paraId="43C0090A" w14:textId="6C9CE819" w:rsidR="003E57E1" w:rsidRPr="00DF25ED" w:rsidRDefault="003E57E1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F25E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F25ED">
        <w:rPr>
          <w:rFonts w:ascii="Times New Roman" w:hAnsi="Times New Roman" w:cs="Times New Roman"/>
          <w:sz w:val="20"/>
          <w:szCs w:val="20"/>
        </w:rPr>
        <w:t xml:space="preserve"> </w:t>
      </w:r>
      <w:r w:rsidRPr="00DF25ED">
        <w:rPr>
          <w:rFonts w:ascii="Times New Roman" w:hAnsi="Times New Roman" w:cs="Times New Roman"/>
          <w:sz w:val="20"/>
          <w:szCs w:val="20"/>
          <w:lang w:val="en-US"/>
        </w:rPr>
        <w:t xml:space="preserve">JUSTEN FILHO, </w:t>
      </w:r>
      <w:proofErr w:type="spellStart"/>
      <w:r w:rsidRPr="00DF25ED">
        <w:rPr>
          <w:rFonts w:ascii="Times New Roman" w:hAnsi="Times New Roman" w:cs="Times New Roman"/>
          <w:sz w:val="20"/>
          <w:szCs w:val="20"/>
          <w:lang w:val="en-US"/>
        </w:rPr>
        <w:t>Marçal</w:t>
      </w:r>
      <w:proofErr w:type="spellEnd"/>
      <w:r w:rsidRPr="00DF25E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>Curso</w:t>
      </w:r>
      <w:proofErr w:type="spellEnd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 </w:t>
      </w:r>
      <w:proofErr w:type="spellStart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>Direito</w:t>
      </w:r>
      <w:proofErr w:type="spellEnd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>Administrativo</w:t>
      </w:r>
      <w:proofErr w:type="spellEnd"/>
      <w:r w:rsidRPr="00DF25E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DF25ED">
        <w:rPr>
          <w:rFonts w:ascii="Times New Roman" w:hAnsi="Times New Roman" w:cs="Times New Roman"/>
          <w:sz w:val="20"/>
          <w:szCs w:val="20"/>
          <w:lang w:val="en-US"/>
        </w:rPr>
        <w:t xml:space="preserve"> São Paulo: </w:t>
      </w:r>
      <w:proofErr w:type="spellStart"/>
      <w:r w:rsidRPr="00DF25ED">
        <w:rPr>
          <w:rFonts w:ascii="Times New Roman" w:hAnsi="Times New Roman" w:cs="Times New Roman"/>
          <w:sz w:val="20"/>
          <w:szCs w:val="20"/>
          <w:lang w:val="en-US"/>
        </w:rPr>
        <w:t>Saraiva</w:t>
      </w:r>
      <w:proofErr w:type="spellEnd"/>
      <w:r w:rsidRPr="00DF25ED">
        <w:rPr>
          <w:rFonts w:ascii="Times New Roman" w:hAnsi="Times New Roman" w:cs="Times New Roman"/>
          <w:sz w:val="20"/>
          <w:szCs w:val="20"/>
          <w:lang w:val="en-US"/>
        </w:rPr>
        <w:t>, 2005, p. 293.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519"/>
    <w:multiLevelType w:val="hybridMultilevel"/>
    <w:tmpl w:val="33F4A70C"/>
    <w:lvl w:ilvl="0" w:tplc="EECCC926">
      <w:start w:val="3"/>
      <w:numFmt w:val="bullet"/>
      <w:lvlText w:val="-"/>
      <w:lvlJc w:val="left"/>
      <w:pPr>
        <w:ind w:left="3195" w:hanging="360"/>
      </w:pPr>
      <w:rPr>
        <w:rFonts w:ascii="Book Antiqua" w:eastAsia="Arial Unicode M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F2"/>
    <w:rsid w:val="000005CB"/>
    <w:rsid w:val="000012AB"/>
    <w:rsid w:val="00007D4D"/>
    <w:rsid w:val="000115A9"/>
    <w:rsid w:val="00011F6D"/>
    <w:rsid w:val="000128D3"/>
    <w:rsid w:val="00015704"/>
    <w:rsid w:val="00022657"/>
    <w:rsid w:val="00024F14"/>
    <w:rsid w:val="0002524B"/>
    <w:rsid w:val="000263A3"/>
    <w:rsid w:val="00026CB2"/>
    <w:rsid w:val="00031EAE"/>
    <w:rsid w:val="000345AF"/>
    <w:rsid w:val="0004220F"/>
    <w:rsid w:val="000439A1"/>
    <w:rsid w:val="00053211"/>
    <w:rsid w:val="000546D8"/>
    <w:rsid w:val="000567F4"/>
    <w:rsid w:val="0006036F"/>
    <w:rsid w:val="00060C21"/>
    <w:rsid w:val="00062AC7"/>
    <w:rsid w:val="0007014C"/>
    <w:rsid w:val="00072A6C"/>
    <w:rsid w:val="00075198"/>
    <w:rsid w:val="00076C7F"/>
    <w:rsid w:val="000778A3"/>
    <w:rsid w:val="00077D75"/>
    <w:rsid w:val="000835D6"/>
    <w:rsid w:val="000855BA"/>
    <w:rsid w:val="00087318"/>
    <w:rsid w:val="00090671"/>
    <w:rsid w:val="000A5603"/>
    <w:rsid w:val="000A5D04"/>
    <w:rsid w:val="000A7D62"/>
    <w:rsid w:val="000B2031"/>
    <w:rsid w:val="000B4D5A"/>
    <w:rsid w:val="000B4F4C"/>
    <w:rsid w:val="000B6078"/>
    <w:rsid w:val="000B6EC7"/>
    <w:rsid w:val="000B7684"/>
    <w:rsid w:val="000B7E12"/>
    <w:rsid w:val="000C0B35"/>
    <w:rsid w:val="000C0F3B"/>
    <w:rsid w:val="000C4940"/>
    <w:rsid w:val="000D0B49"/>
    <w:rsid w:val="000E0527"/>
    <w:rsid w:val="000E0D0A"/>
    <w:rsid w:val="000E319E"/>
    <w:rsid w:val="000E50FC"/>
    <w:rsid w:val="000E622A"/>
    <w:rsid w:val="000E6704"/>
    <w:rsid w:val="000F028B"/>
    <w:rsid w:val="000F0790"/>
    <w:rsid w:val="000F1293"/>
    <w:rsid w:val="000F3214"/>
    <w:rsid w:val="000F431A"/>
    <w:rsid w:val="000F633B"/>
    <w:rsid w:val="000F63A8"/>
    <w:rsid w:val="00101EA0"/>
    <w:rsid w:val="001031BB"/>
    <w:rsid w:val="00104F2B"/>
    <w:rsid w:val="0010582B"/>
    <w:rsid w:val="001124AF"/>
    <w:rsid w:val="00113479"/>
    <w:rsid w:val="00117A80"/>
    <w:rsid w:val="001325A5"/>
    <w:rsid w:val="00133BE7"/>
    <w:rsid w:val="00137324"/>
    <w:rsid w:val="00146E59"/>
    <w:rsid w:val="00147373"/>
    <w:rsid w:val="001518D0"/>
    <w:rsid w:val="00154681"/>
    <w:rsid w:val="001578CB"/>
    <w:rsid w:val="001705D3"/>
    <w:rsid w:val="0017238D"/>
    <w:rsid w:val="00172914"/>
    <w:rsid w:val="00180148"/>
    <w:rsid w:val="00182DC8"/>
    <w:rsid w:val="001837E7"/>
    <w:rsid w:val="00184265"/>
    <w:rsid w:val="001848C8"/>
    <w:rsid w:val="00184E9D"/>
    <w:rsid w:val="00185337"/>
    <w:rsid w:val="001A06EA"/>
    <w:rsid w:val="001A0DC8"/>
    <w:rsid w:val="001A2D25"/>
    <w:rsid w:val="001C0C01"/>
    <w:rsid w:val="001C356F"/>
    <w:rsid w:val="001C3ED9"/>
    <w:rsid w:val="001C4660"/>
    <w:rsid w:val="001C6DA6"/>
    <w:rsid w:val="001D730A"/>
    <w:rsid w:val="001E50DB"/>
    <w:rsid w:val="001E6FEC"/>
    <w:rsid w:val="001E72B3"/>
    <w:rsid w:val="001E76A5"/>
    <w:rsid w:val="001E7869"/>
    <w:rsid w:val="001F0330"/>
    <w:rsid w:val="001F1628"/>
    <w:rsid w:val="001F3306"/>
    <w:rsid w:val="00203A52"/>
    <w:rsid w:val="00206E3F"/>
    <w:rsid w:val="00206E9D"/>
    <w:rsid w:val="00210BC5"/>
    <w:rsid w:val="00210C26"/>
    <w:rsid w:val="002114F8"/>
    <w:rsid w:val="00211DA9"/>
    <w:rsid w:val="00216F5B"/>
    <w:rsid w:val="00217834"/>
    <w:rsid w:val="00225BC3"/>
    <w:rsid w:val="00227CD2"/>
    <w:rsid w:val="00231A27"/>
    <w:rsid w:val="0023242D"/>
    <w:rsid w:val="00234E73"/>
    <w:rsid w:val="00235E97"/>
    <w:rsid w:val="0023677C"/>
    <w:rsid w:val="002436DE"/>
    <w:rsid w:val="00246D09"/>
    <w:rsid w:val="0025154B"/>
    <w:rsid w:val="002519D1"/>
    <w:rsid w:val="00252009"/>
    <w:rsid w:val="002524B7"/>
    <w:rsid w:val="0025544D"/>
    <w:rsid w:val="0025761C"/>
    <w:rsid w:val="0026371F"/>
    <w:rsid w:val="00264C44"/>
    <w:rsid w:val="00266055"/>
    <w:rsid w:val="0026654D"/>
    <w:rsid w:val="0027072B"/>
    <w:rsid w:val="002711F2"/>
    <w:rsid w:val="0027467E"/>
    <w:rsid w:val="00284FB8"/>
    <w:rsid w:val="002934B8"/>
    <w:rsid w:val="002934FB"/>
    <w:rsid w:val="00296D49"/>
    <w:rsid w:val="002A0594"/>
    <w:rsid w:val="002A083B"/>
    <w:rsid w:val="002A1B5B"/>
    <w:rsid w:val="002B0FF0"/>
    <w:rsid w:val="002B1503"/>
    <w:rsid w:val="002B2692"/>
    <w:rsid w:val="002B2EEA"/>
    <w:rsid w:val="002B3749"/>
    <w:rsid w:val="002B537D"/>
    <w:rsid w:val="002B7D4A"/>
    <w:rsid w:val="002C5183"/>
    <w:rsid w:val="002C5356"/>
    <w:rsid w:val="002D09A2"/>
    <w:rsid w:val="002D453C"/>
    <w:rsid w:val="002E0DA7"/>
    <w:rsid w:val="002E1840"/>
    <w:rsid w:val="002E2A66"/>
    <w:rsid w:val="002E467B"/>
    <w:rsid w:val="002F183C"/>
    <w:rsid w:val="002F3674"/>
    <w:rsid w:val="002F6595"/>
    <w:rsid w:val="00304FA8"/>
    <w:rsid w:val="00307C92"/>
    <w:rsid w:val="00313F89"/>
    <w:rsid w:val="00315D6E"/>
    <w:rsid w:val="00315EEE"/>
    <w:rsid w:val="00320535"/>
    <w:rsid w:val="00322875"/>
    <w:rsid w:val="00322D9B"/>
    <w:rsid w:val="00323062"/>
    <w:rsid w:val="003276F5"/>
    <w:rsid w:val="00332629"/>
    <w:rsid w:val="00332D51"/>
    <w:rsid w:val="00333590"/>
    <w:rsid w:val="00342592"/>
    <w:rsid w:val="0034513D"/>
    <w:rsid w:val="003469D3"/>
    <w:rsid w:val="00346D36"/>
    <w:rsid w:val="00347F41"/>
    <w:rsid w:val="0035540B"/>
    <w:rsid w:val="00361368"/>
    <w:rsid w:val="003644E7"/>
    <w:rsid w:val="0036559E"/>
    <w:rsid w:val="0037051B"/>
    <w:rsid w:val="003819FB"/>
    <w:rsid w:val="00381D58"/>
    <w:rsid w:val="00391EA8"/>
    <w:rsid w:val="00397FA6"/>
    <w:rsid w:val="003A40B0"/>
    <w:rsid w:val="003A7344"/>
    <w:rsid w:val="003B1401"/>
    <w:rsid w:val="003B2FDB"/>
    <w:rsid w:val="003B61AC"/>
    <w:rsid w:val="003C2BFD"/>
    <w:rsid w:val="003D470E"/>
    <w:rsid w:val="003D4711"/>
    <w:rsid w:val="003E1531"/>
    <w:rsid w:val="003E3ADA"/>
    <w:rsid w:val="003E57E1"/>
    <w:rsid w:val="003E65B3"/>
    <w:rsid w:val="003E6825"/>
    <w:rsid w:val="003F0BC7"/>
    <w:rsid w:val="003F3A0D"/>
    <w:rsid w:val="0040217C"/>
    <w:rsid w:val="0040330F"/>
    <w:rsid w:val="004074DE"/>
    <w:rsid w:val="00414A0C"/>
    <w:rsid w:val="00421F41"/>
    <w:rsid w:val="00422950"/>
    <w:rsid w:val="00427842"/>
    <w:rsid w:val="00434F22"/>
    <w:rsid w:val="00436D98"/>
    <w:rsid w:val="00444076"/>
    <w:rsid w:val="00446566"/>
    <w:rsid w:val="004504E2"/>
    <w:rsid w:val="0045496E"/>
    <w:rsid w:val="00455309"/>
    <w:rsid w:val="0045540F"/>
    <w:rsid w:val="00456410"/>
    <w:rsid w:val="004571D6"/>
    <w:rsid w:val="00461C8F"/>
    <w:rsid w:val="00465B10"/>
    <w:rsid w:val="00480FFF"/>
    <w:rsid w:val="0048210F"/>
    <w:rsid w:val="004876AC"/>
    <w:rsid w:val="0049232F"/>
    <w:rsid w:val="00494026"/>
    <w:rsid w:val="00497A90"/>
    <w:rsid w:val="00497CDD"/>
    <w:rsid w:val="004B18D8"/>
    <w:rsid w:val="004B2B9D"/>
    <w:rsid w:val="004B4EF4"/>
    <w:rsid w:val="004B7485"/>
    <w:rsid w:val="004B7BAC"/>
    <w:rsid w:val="004C431E"/>
    <w:rsid w:val="004C70E9"/>
    <w:rsid w:val="004D14DC"/>
    <w:rsid w:val="004D2A13"/>
    <w:rsid w:val="004D33DF"/>
    <w:rsid w:val="004D66C4"/>
    <w:rsid w:val="004E45E6"/>
    <w:rsid w:val="004E6EB5"/>
    <w:rsid w:val="004E7B9F"/>
    <w:rsid w:val="004F1B77"/>
    <w:rsid w:val="004F4733"/>
    <w:rsid w:val="004F79AF"/>
    <w:rsid w:val="0050125A"/>
    <w:rsid w:val="005051BA"/>
    <w:rsid w:val="005069A9"/>
    <w:rsid w:val="005070FA"/>
    <w:rsid w:val="005112F0"/>
    <w:rsid w:val="005119E1"/>
    <w:rsid w:val="00511F68"/>
    <w:rsid w:val="00515281"/>
    <w:rsid w:val="00515381"/>
    <w:rsid w:val="005166BE"/>
    <w:rsid w:val="005169CB"/>
    <w:rsid w:val="005212ED"/>
    <w:rsid w:val="0052252E"/>
    <w:rsid w:val="00525AE4"/>
    <w:rsid w:val="005308C6"/>
    <w:rsid w:val="00532E67"/>
    <w:rsid w:val="00533C29"/>
    <w:rsid w:val="00533DFE"/>
    <w:rsid w:val="00536169"/>
    <w:rsid w:val="00536478"/>
    <w:rsid w:val="00545946"/>
    <w:rsid w:val="005503B1"/>
    <w:rsid w:val="00554B8B"/>
    <w:rsid w:val="00554E74"/>
    <w:rsid w:val="005604A4"/>
    <w:rsid w:val="00560CB9"/>
    <w:rsid w:val="005610C6"/>
    <w:rsid w:val="00561A0D"/>
    <w:rsid w:val="00563035"/>
    <w:rsid w:val="00565277"/>
    <w:rsid w:val="00567406"/>
    <w:rsid w:val="00570F41"/>
    <w:rsid w:val="00572974"/>
    <w:rsid w:val="00576144"/>
    <w:rsid w:val="00577D1D"/>
    <w:rsid w:val="00584EAC"/>
    <w:rsid w:val="00591E06"/>
    <w:rsid w:val="0059278E"/>
    <w:rsid w:val="005A06F0"/>
    <w:rsid w:val="005A0EA1"/>
    <w:rsid w:val="005A6010"/>
    <w:rsid w:val="005B01DC"/>
    <w:rsid w:val="005B08ED"/>
    <w:rsid w:val="005B0F33"/>
    <w:rsid w:val="005B2959"/>
    <w:rsid w:val="005C222C"/>
    <w:rsid w:val="005C4710"/>
    <w:rsid w:val="005D35D7"/>
    <w:rsid w:val="005D3730"/>
    <w:rsid w:val="005D5966"/>
    <w:rsid w:val="005D59C8"/>
    <w:rsid w:val="005D6B23"/>
    <w:rsid w:val="005E0CF3"/>
    <w:rsid w:val="005E2721"/>
    <w:rsid w:val="005E3ACB"/>
    <w:rsid w:val="005E439C"/>
    <w:rsid w:val="005E44C7"/>
    <w:rsid w:val="005E4E30"/>
    <w:rsid w:val="005E4FAD"/>
    <w:rsid w:val="005F1204"/>
    <w:rsid w:val="005F1245"/>
    <w:rsid w:val="005F5CE9"/>
    <w:rsid w:val="00600FF3"/>
    <w:rsid w:val="00603872"/>
    <w:rsid w:val="00605A80"/>
    <w:rsid w:val="00605EA3"/>
    <w:rsid w:val="00606310"/>
    <w:rsid w:val="0061180F"/>
    <w:rsid w:val="00611A7C"/>
    <w:rsid w:val="00617441"/>
    <w:rsid w:val="006206A9"/>
    <w:rsid w:val="00623C70"/>
    <w:rsid w:val="00623FC9"/>
    <w:rsid w:val="0062778B"/>
    <w:rsid w:val="00630C62"/>
    <w:rsid w:val="0063155D"/>
    <w:rsid w:val="0063175D"/>
    <w:rsid w:val="00632152"/>
    <w:rsid w:val="00634037"/>
    <w:rsid w:val="00634298"/>
    <w:rsid w:val="0063495F"/>
    <w:rsid w:val="00636191"/>
    <w:rsid w:val="0064099B"/>
    <w:rsid w:val="00643FBD"/>
    <w:rsid w:val="00644EF9"/>
    <w:rsid w:val="0064793C"/>
    <w:rsid w:val="00651312"/>
    <w:rsid w:val="00656F79"/>
    <w:rsid w:val="00671A24"/>
    <w:rsid w:val="00673251"/>
    <w:rsid w:val="00673D20"/>
    <w:rsid w:val="00673F37"/>
    <w:rsid w:val="00681622"/>
    <w:rsid w:val="00681E51"/>
    <w:rsid w:val="00683180"/>
    <w:rsid w:val="00684254"/>
    <w:rsid w:val="00686B3A"/>
    <w:rsid w:val="006878A9"/>
    <w:rsid w:val="0069012E"/>
    <w:rsid w:val="006922D0"/>
    <w:rsid w:val="0069276C"/>
    <w:rsid w:val="00693566"/>
    <w:rsid w:val="006946C2"/>
    <w:rsid w:val="006A78C4"/>
    <w:rsid w:val="006B045E"/>
    <w:rsid w:val="006B1BB8"/>
    <w:rsid w:val="006B21A7"/>
    <w:rsid w:val="006B2897"/>
    <w:rsid w:val="006B4303"/>
    <w:rsid w:val="006B554D"/>
    <w:rsid w:val="006B699B"/>
    <w:rsid w:val="006C17E0"/>
    <w:rsid w:val="006C19B8"/>
    <w:rsid w:val="006C3687"/>
    <w:rsid w:val="006C3FAE"/>
    <w:rsid w:val="006C5EED"/>
    <w:rsid w:val="006C6306"/>
    <w:rsid w:val="006C7E41"/>
    <w:rsid w:val="006D403D"/>
    <w:rsid w:val="006D68FC"/>
    <w:rsid w:val="006D7364"/>
    <w:rsid w:val="006E24E2"/>
    <w:rsid w:val="006E2A27"/>
    <w:rsid w:val="006E46CD"/>
    <w:rsid w:val="006F7B6E"/>
    <w:rsid w:val="0070390E"/>
    <w:rsid w:val="007059D1"/>
    <w:rsid w:val="00706781"/>
    <w:rsid w:val="00706E1D"/>
    <w:rsid w:val="00707DE3"/>
    <w:rsid w:val="00711CE7"/>
    <w:rsid w:val="00714543"/>
    <w:rsid w:val="00715F1A"/>
    <w:rsid w:val="00716FF5"/>
    <w:rsid w:val="00717774"/>
    <w:rsid w:val="00720A3C"/>
    <w:rsid w:val="007255BA"/>
    <w:rsid w:val="00735B89"/>
    <w:rsid w:val="00736123"/>
    <w:rsid w:val="0074224D"/>
    <w:rsid w:val="00743861"/>
    <w:rsid w:val="00745810"/>
    <w:rsid w:val="00745FF6"/>
    <w:rsid w:val="007506DF"/>
    <w:rsid w:val="00750DD4"/>
    <w:rsid w:val="00752521"/>
    <w:rsid w:val="00755996"/>
    <w:rsid w:val="0076380B"/>
    <w:rsid w:val="00764CFF"/>
    <w:rsid w:val="0076597D"/>
    <w:rsid w:val="00765980"/>
    <w:rsid w:val="00765D1D"/>
    <w:rsid w:val="00770D42"/>
    <w:rsid w:val="00771FA9"/>
    <w:rsid w:val="00776768"/>
    <w:rsid w:val="0077732E"/>
    <w:rsid w:val="00777F55"/>
    <w:rsid w:val="0078177C"/>
    <w:rsid w:val="007837F7"/>
    <w:rsid w:val="00785BE6"/>
    <w:rsid w:val="0079481F"/>
    <w:rsid w:val="007A15D3"/>
    <w:rsid w:val="007A1DA6"/>
    <w:rsid w:val="007A302E"/>
    <w:rsid w:val="007B59BB"/>
    <w:rsid w:val="007B5D56"/>
    <w:rsid w:val="007B65B9"/>
    <w:rsid w:val="007C08FB"/>
    <w:rsid w:val="007D0E64"/>
    <w:rsid w:val="007D1980"/>
    <w:rsid w:val="007D4196"/>
    <w:rsid w:val="007D56E2"/>
    <w:rsid w:val="007D5ECB"/>
    <w:rsid w:val="007D706E"/>
    <w:rsid w:val="007E1E42"/>
    <w:rsid w:val="007E25B3"/>
    <w:rsid w:val="007E30BF"/>
    <w:rsid w:val="007E3A99"/>
    <w:rsid w:val="007E47BA"/>
    <w:rsid w:val="007E7ED1"/>
    <w:rsid w:val="007F0AA3"/>
    <w:rsid w:val="007F1FBD"/>
    <w:rsid w:val="007F2A66"/>
    <w:rsid w:val="007F4213"/>
    <w:rsid w:val="007F4804"/>
    <w:rsid w:val="007F6DFE"/>
    <w:rsid w:val="0080169A"/>
    <w:rsid w:val="008023BD"/>
    <w:rsid w:val="00804267"/>
    <w:rsid w:val="0080465E"/>
    <w:rsid w:val="00827760"/>
    <w:rsid w:val="00834882"/>
    <w:rsid w:val="008351F5"/>
    <w:rsid w:val="008365BE"/>
    <w:rsid w:val="00836F52"/>
    <w:rsid w:val="0083749C"/>
    <w:rsid w:val="0084062A"/>
    <w:rsid w:val="008431F7"/>
    <w:rsid w:val="00847213"/>
    <w:rsid w:val="0085381D"/>
    <w:rsid w:val="00853AA4"/>
    <w:rsid w:val="00853BCB"/>
    <w:rsid w:val="00855B9C"/>
    <w:rsid w:val="00857EAE"/>
    <w:rsid w:val="00860041"/>
    <w:rsid w:val="008607A5"/>
    <w:rsid w:val="00863C2E"/>
    <w:rsid w:val="00864814"/>
    <w:rsid w:val="0086521E"/>
    <w:rsid w:val="00865FC5"/>
    <w:rsid w:val="00871BE2"/>
    <w:rsid w:val="008720E2"/>
    <w:rsid w:val="00874683"/>
    <w:rsid w:val="00875600"/>
    <w:rsid w:val="00875FD9"/>
    <w:rsid w:val="00877047"/>
    <w:rsid w:val="008802CE"/>
    <w:rsid w:val="00893C29"/>
    <w:rsid w:val="008A3E87"/>
    <w:rsid w:val="008A58D5"/>
    <w:rsid w:val="008A6B02"/>
    <w:rsid w:val="008B1D22"/>
    <w:rsid w:val="008B2746"/>
    <w:rsid w:val="008B44D5"/>
    <w:rsid w:val="008B528C"/>
    <w:rsid w:val="008C01CC"/>
    <w:rsid w:val="008C2573"/>
    <w:rsid w:val="008C3A3A"/>
    <w:rsid w:val="008C4C3C"/>
    <w:rsid w:val="008C5B37"/>
    <w:rsid w:val="008C5F87"/>
    <w:rsid w:val="008C6CD5"/>
    <w:rsid w:val="008C6EF2"/>
    <w:rsid w:val="008D3693"/>
    <w:rsid w:val="008E3446"/>
    <w:rsid w:val="008E376B"/>
    <w:rsid w:val="008E4FA5"/>
    <w:rsid w:val="008E602E"/>
    <w:rsid w:val="008F113B"/>
    <w:rsid w:val="008F1453"/>
    <w:rsid w:val="008F1791"/>
    <w:rsid w:val="008F1CDF"/>
    <w:rsid w:val="008F2644"/>
    <w:rsid w:val="008F44D6"/>
    <w:rsid w:val="008F5354"/>
    <w:rsid w:val="00901CB3"/>
    <w:rsid w:val="00902379"/>
    <w:rsid w:val="009023AB"/>
    <w:rsid w:val="00904436"/>
    <w:rsid w:val="009048CC"/>
    <w:rsid w:val="00914E1A"/>
    <w:rsid w:val="00915650"/>
    <w:rsid w:val="0091577D"/>
    <w:rsid w:val="00931D7D"/>
    <w:rsid w:val="00935438"/>
    <w:rsid w:val="0093660C"/>
    <w:rsid w:val="0094103E"/>
    <w:rsid w:val="0094224D"/>
    <w:rsid w:val="00954B08"/>
    <w:rsid w:val="00955453"/>
    <w:rsid w:val="00961273"/>
    <w:rsid w:val="00970660"/>
    <w:rsid w:val="00974AAB"/>
    <w:rsid w:val="00977AEB"/>
    <w:rsid w:val="00983E02"/>
    <w:rsid w:val="009848E9"/>
    <w:rsid w:val="0098597D"/>
    <w:rsid w:val="00987194"/>
    <w:rsid w:val="00990E2C"/>
    <w:rsid w:val="00994666"/>
    <w:rsid w:val="009A2D68"/>
    <w:rsid w:val="009A432F"/>
    <w:rsid w:val="009B03B5"/>
    <w:rsid w:val="009B5AAB"/>
    <w:rsid w:val="009B65CD"/>
    <w:rsid w:val="009B6B24"/>
    <w:rsid w:val="009C4885"/>
    <w:rsid w:val="009C6168"/>
    <w:rsid w:val="009C652A"/>
    <w:rsid w:val="009C6CD8"/>
    <w:rsid w:val="009C75F2"/>
    <w:rsid w:val="009D0E64"/>
    <w:rsid w:val="009D1FAD"/>
    <w:rsid w:val="009D22BF"/>
    <w:rsid w:val="009D3657"/>
    <w:rsid w:val="009D3AF0"/>
    <w:rsid w:val="009D5E37"/>
    <w:rsid w:val="009D6482"/>
    <w:rsid w:val="009D7637"/>
    <w:rsid w:val="009D7C1D"/>
    <w:rsid w:val="009E0060"/>
    <w:rsid w:val="009E35CB"/>
    <w:rsid w:val="009E4F22"/>
    <w:rsid w:val="009E679E"/>
    <w:rsid w:val="009E7069"/>
    <w:rsid w:val="009E7CD8"/>
    <w:rsid w:val="009F163B"/>
    <w:rsid w:val="00A008B0"/>
    <w:rsid w:val="00A008C0"/>
    <w:rsid w:val="00A01038"/>
    <w:rsid w:val="00A0528B"/>
    <w:rsid w:val="00A05F63"/>
    <w:rsid w:val="00A11328"/>
    <w:rsid w:val="00A11544"/>
    <w:rsid w:val="00A121C7"/>
    <w:rsid w:val="00A22445"/>
    <w:rsid w:val="00A22E58"/>
    <w:rsid w:val="00A24293"/>
    <w:rsid w:val="00A24ADD"/>
    <w:rsid w:val="00A252F6"/>
    <w:rsid w:val="00A32392"/>
    <w:rsid w:val="00A32629"/>
    <w:rsid w:val="00A34473"/>
    <w:rsid w:val="00A35318"/>
    <w:rsid w:val="00A359FB"/>
    <w:rsid w:val="00A42E86"/>
    <w:rsid w:val="00A432A2"/>
    <w:rsid w:val="00A454F2"/>
    <w:rsid w:val="00A46091"/>
    <w:rsid w:val="00A4693C"/>
    <w:rsid w:val="00A5398D"/>
    <w:rsid w:val="00A54E70"/>
    <w:rsid w:val="00A5673E"/>
    <w:rsid w:val="00A56A86"/>
    <w:rsid w:val="00A6013D"/>
    <w:rsid w:val="00A6212B"/>
    <w:rsid w:val="00A625E0"/>
    <w:rsid w:val="00A62C09"/>
    <w:rsid w:val="00A676FE"/>
    <w:rsid w:val="00A7031A"/>
    <w:rsid w:val="00A73A4C"/>
    <w:rsid w:val="00A74BA5"/>
    <w:rsid w:val="00A80735"/>
    <w:rsid w:val="00A84634"/>
    <w:rsid w:val="00A8515B"/>
    <w:rsid w:val="00A8717B"/>
    <w:rsid w:val="00AA29AE"/>
    <w:rsid w:val="00AA2F5A"/>
    <w:rsid w:val="00AA688F"/>
    <w:rsid w:val="00AB21E0"/>
    <w:rsid w:val="00AB232C"/>
    <w:rsid w:val="00AB310C"/>
    <w:rsid w:val="00AB38CB"/>
    <w:rsid w:val="00AB396F"/>
    <w:rsid w:val="00AB62D4"/>
    <w:rsid w:val="00AB640D"/>
    <w:rsid w:val="00AC1B93"/>
    <w:rsid w:val="00AC21E6"/>
    <w:rsid w:val="00AC2382"/>
    <w:rsid w:val="00AC30EE"/>
    <w:rsid w:val="00AC5BE0"/>
    <w:rsid w:val="00AC6664"/>
    <w:rsid w:val="00AC7196"/>
    <w:rsid w:val="00AD0548"/>
    <w:rsid w:val="00AD39F7"/>
    <w:rsid w:val="00AE0ED8"/>
    <w:rsid w:val="00AE6B4F"/>
    <w:rsid w:val="00AE7932"/>
    <w:rsid w:val="00AF32D1"/>
    <w:rsid w:val="00AF3770"/>
    <w:rsid w:val="00AF645D"/>
    <w:rsid w:val="00B011E4"/>
    <w:rsid w:val="00B0753A"/>
    <w:rsid w:val="00B07B6A"/>
    <w:rsid w:val="00B15243"/>
    <w:rsid w:val="00B26F89"/>
    <w:rsid w:val="00B31735"/>
    <w:rsid w:val="00B427DE"/>
    <w:rsid w:val="00B46B46"/>
    <w:rsid w:val="00B618D9"/>
    <w:rsid w:val="00B63023"/>
    <w:rsid w:val="00B637E3"/>
    <w:rsid w:val="00B63A7B"/>
    <w:rsid w:val="00B6738B"/>
    <w:rsid w:val="00B759CF"/>
    <w:rsid w:val="00B760C1"/>
    <w:rsid w:val="00B80AE3"/>
    <w:rsid w:val="00B834DC"/>
    <w:rsid w:val="00B85F3C"/>
    <w:rsid w:val="00B861DC"/>
    <w:rsid w:val="00B9284F"/>
    <w:rsid w:val="00B92BED"/>
    <w:rsid w:val="00B97D6C"/>
    <w:rsid w:val="00BA04AF"/>
    <w:rsid w:val="00BA137A"/>
    <w:rsid w:val="00BA3950"/>
    <w:rsid w:val="00BA6FEE"/>
    <w:rsid w:val="00BB2C5B"/>
    <w:rsid w:val="00BB2E54"/>
    <w:rsid w:val="00BB4127"/>
    <w:rsid w:val="00BB4FBD"/>
    <w:rsid w:val="00BC24AC"/>
    <w:rsid w:val="00BC483C"/>
    <w:rsid w:val="00BD0BEE"/>
    <w:rsid w:val="00BD1245"/>
    <w:rsid w:val="00BD12B0"/>
    <w:rsid w:val="00BD4343"/>
    <w:rsid w:val="00BE4F5D"/>
    <w:rsid w:val="00BE624A"/>
    <w:rsid w:val="00BF2F99"/>
    <w:rsid w:val="00BF3737"/>
    <w:rsid w:val="00BF75C8"/>
    <w:rsid w:val="00C0231D"/>
    <w:rsid w:val="00C02857"/>
    <w:rsid w:val="00C02FC5"/>
    <w:rsid w:val="00C04E40"/>
    <w:rsid w:val="00C13C08"/>
    <w:rsid w:val="00C14637"/>
    <w:rsid w:val="00C15F38"/>
    <w:rsid w:val="00C16360"/>
    <w:rsid w:val="00C165ED"/>
    <w:rsid w:val="00C223FE"/>
    <w:rsid w:val="00C23A48"/>
    <w:rsid w:val="00C24378"/>
    <w:rsid w:val="00C24974"/>
    <w:rsid w:val="00C24FCB"/>
    <w:rsid w:val="00C26C1B"/>
    <w:rsid w:val="00C335F2"/>
    <w:rsid w:val="00C43BD5"/>
    <w:rsid w:val="00C452C0"/>
    <w:rsid w:val="00C53981"/>
    <w:rsid w:val="00C5409F"/>
    <w:rsid w:val="00C636ED"/>
    <w:rsid w:val="00C64490"/>
    <w:rsid w:val="00C701C2"/>
    <w:rsid w:val="00C74FA4"/>
    <w:rsid w:val="00C76E90"/>
    <w:rsid w:val="00C802D5"/>
    <w:rsid w:val="00C82199"/>
    <w:rsid w:val="00C82DD7"/>
    <w:rsid w:val="00C8422E"/>
    <w:rsid w:val="00C90D89"/>
    <w:rsid w:val="00C91246"/>
    <w:rsid w:val="00C96904"/>
    <w:rsid w:val="00C9792B"/>
    <w:rsid w:val="00C97CDA"/>
    <w:rsid w:val="00CA28CF"/>
    <w:rsid w:val="00CA2F39"/>
    <w:rsid w:val="00CA30F0"/>
    <w:rsid w:val="00CA3DE0"/>
    <w:rsid w:val="00CA5447"/>
    <w:rsid w:val="00CB1E7B"/>
    <w:rsid w:val="00CB2DD8"/>
    <w:rsid w:val="00CB3901"/>
    <w:rsid w:val="00CB3EF2"/>
    <w:rsid w:val="00CB7464"/>
    <w:rsid w:val="00CC0344"/>
    <w:rsid w:val="00CC098E"/>
    <w:rsid w:val="00CC18DE"/>
    <w:rsid w:val="00CC5BC8"/>
    <w:rsid w:val="00CC5EC7"/>
    <w:rsid w:val="00CC60BB"/>
    <w:rsid w:val="00CC68B3"/>
    <w:rsid w:val="00CC6FF4"/>
    <w:rsid w:val="00CD0C7A"/>
    <w:rsid w:val="00CD0FCF"/>
    <w:rsid w:val="00CD3AC4"/>
    <w:rsid w:val="00CD3D77"/>
    <w:rsid w:val="00CD6792"/>
    <w:rsid w:val="00CD7181"/>
    <w:rsid w:val="00CE27C4"/>
    <w:rsid w:val="00CE2AE4"/>
    <w:rsid w:val="00CE47E7"/>
    <w:rsid w:val="00CE594D"/>
    <w:rsid w:val="00CF47A3"/>
    <w:rsid w:val="00CF7D56"/>
    <w:rsid w:val="00D00D6A"/>
    <w:rsid w:val="00D02B02"/>
    <w:rsid w:val="00D0707F"/>
    <w:rsid w:val="00D0789E"/>
    <w:rsid w:val="00D110BE"/>
    <w:rsid w:val="00D1263D"/>
    <w:rsid w:val="00D23E34"/>
    <w:rsid w:val="00D248FF"/>
    <w:rsid w:val="00D27F71"/>
    <w:rsid w:val="00D27FE0"/>
    <w:rsid w:val="00D329F1"/>
    <w:rsid w:val="00D32CFB"/>
    <w:rsid w:val="00D34877"/>
    <w:rsid w:val="00D366C6"/>
    <w:rsid w:val="00D452E1"/>
    <w:rsid w:val="00D515E9"/>
    <w:rsid w:val="00D53AB5"/>
    <w:rsid w:val="00D60F8E"/>
    <w:rsid w:val="00D63745"/>
    <w:rsid w:val="00D64A0C"/>
    <w:rsid w:val="00D716C8"/>
    <w:rsid w:val="00D71886"/>
    <w:rsid w:val="00D726D0"/>
    <w:rsid w:val="00D76DDA"/>
    <w:rsid w:val="00D77A21"/>
    <w:rsid w:val="00D86803"/>
    <w:rsid w:val="00D876C7"/>
    <w:rsid w:val="00D91BF5"/>
    <w:rsid w:val="00D9454E"/>
    <w:rsid w:val="00D94A97"/>
    <w:rsid w:val="00D961F4"/>
    <w:rsid w:val="00DA1F5E"/>
    <w:rsid w:val="00DA2646"/>
    <w:rsid w:val="00DA68D7"/>
    <w:rsid w:val="00DB6127"/>
    <w:rsid w:val="00DD15BF"/>
    <w:rsid w:val="00DD422A"/>
    <w:rsid w:val="00DD5F67"/>
    <w:rsid w:val="00DD63A8"/>
    <w:rsid w:val="00DD7382"/>
    <w:rsid w:val="00DD7C79"/>
    <w:rsid w:val="00DE003F"/>
    <w:rsid w:val="00DE1B29"/>
    <w:rsid w:val="00DE373A"/>
    <w:rsid w:val="00DE436F"/>
    <w:rsid w:val="00DE5E85"/>
    <w:rsid w:val="00DF25ED"/>
    <w:rsid w:val="00DF2EF5"/>
    <w:rsid w:val="00DF3F56"/>
    <w:rsid w:val="00E02388"/>
    <w:rsid w:val="00E111D7"/>
    <w:rsid w:val="00E1173F"/>
    <w:rsid w:val="00E13936"/>
    <w:rsid w:val="00E1538D"/>
    <w:rsid w:val="00E1604B"/>
    <w:rsid w:val="00E16711"/>
    <w:rsid w:val="00E176B9"/>
    <w:rsid w:val="00E20D20"/>
    <w:rsid w:val="00E2147D"/>
    <w:rsid w:val="00E21EBC"/>
    <w:rsid w:val="00E3106E"/>
    <w:rsid w:val="00E34A8A"/>
    <w:rsid w:val="00E36C7C"/>
    <w:rsid w:val="00E41705"/>
    <w:rsid w:val="00E42E96"/>
    <w:rsid w:val="00E45E3A"/>
    <w:rsid w:val="00E51F96"/>
    <w:rsid w:val="00E54A2D"/>
    <w:rsid w:val="00E5619D"/>
    <w:rsid w:val="00E644EA"/>
    <w:rsid w:val="00E6469E"/>
    <w:rsid w:val="00E67EF9"/>
    <w:rsid w:val="00E72C18"/>
    <w:rsid w:val="00E7357D"/>
    <w:rsid w:val="00E740EF"/>
    <w:rsid w:val="00E80757"/>
    <w:rsid w:val="00E81C97"/>
    <w:rsid w:val="00E83AB2"/>
    <w:rsid w:val="00E83E26"/>
    <w:rsid w:val="00E904F5"/>
    <w:rsid w:val="00E920BD"/>
    <w:rsid w:val="00E951DB"/>
    <w:rsid w:val="00E9742B"/>
    <w:rsid w:val="00E97ABF"/>
    <w:rsid w:val="00EA22A3"/>
    <w:rsid w:val="00EA2F8B"/>
    <w:rsid w:val="00EA5254"/>
    <w:rsid w:val="00EA591F"/>
    <w:rsid w:val="00EB4118"/>
    <w:rsid w:val="00EB5322"/>
    <w:rsid w:val="00EB579E"/>
    <w:rsid w:val="00EB735E"/>
    <w:rsid w:val="00EC039B"/>
    <w:rsid w:val="00EC070A"/>
    <w:rsid w:val="00EC0CC5"/>
    <w:rsid w:val="00EC3174"/>
    <w:rsid w:val="00EC35DD"/>
    <w:rsid w:val="00EC5446"/>
    <w:rsid w:val="00ED35EB"/>
    <w:rsid w:val="00ED45E6"/>
    <w:rsid w:val="00ED5FC7"/>
    <w:rsid w:val="00ED7E83"/>
    <w:rsid w:val="00EE606B"/>
    <w:rsid w:val="00EE6B3E"/>
    <w:rsid w:val="00EF09FD"/>
    <w:rsid w:val="00EF282F"/>
    <w:rsid w:val="00EF2C1B"/>
    <w:rsid w:val="00F00C87"/>
    <w:rsid w:val="00F0265D"/>
    <w:rsid w:val="00F02ECA"/>
    <w:rsid w:val="00F03B03"/>
    <w:rsid w:val="00F1281E"/>
    <w:rsid w:val="00F138BF"/>
    <w:rsid w:val="00F14667"/>
    <w:rsid w:val="00F1573F"/>
    <w:rsid w:val="00F1628B"/>
    <w:rsid w:val="00F22804"/>
    <w:rsid w:val="00F25F1F"/>
    <w:rsid w:val="00F26961"/>
    <w:rsid w:val="00F33257"/>
    <w:rsid w:val="00F36903"/>
    <w:rsid w:val="00F373A3"/>
    <w:rsid w:val="00F52367"/>
    <w:rsid w:val="00F52B08"/>
    <w:rsid w:val="00F560C5"/>
    <w:rsid w:val="00F57D7B"/>
    <w:rsid w:val="00F60CFC"/>
    <w:rsid w:val="00F62FA8"/>
    <w:rsid w:val="00F6595B"/>
    <w:rsid w:val="00F6722D"/>
    <w:rsid w:val="00F70967"/>
    <w:rsid w:val="00F70C0E"/>
    <w:rsid w:val="00F70E99"/>
    <w:rsid w:val="00F71C8D"/>
    <w:rsid w:val="00F73D08"/>
    <w:rsid w:val="00F75A03"/>
    <w:rsid w:val="00F76872"/>
    <w:rsid w:val="00F82474"/>
    <w:rsid w:val="00F842C0"/>
    <w:rsid w:val="00F84E98"/>
    <w:rsid w:val="00F87432"/>
    <w:rsid w:val="00F93B56"/>
    <w:rsid w:val="00F942CA"/>
    <w:rsid w:val="00F94F28"/>
    <w:rsid w:val="00F950C1"/>
    <w:rsid w:val="00F97070"/>
    <w:rsid w:val="00FA0C6A"/>
    <w:rsid w:val="00FA117E"/>
    <w:rsid w:val="00FA7B8D"/>
    <w:rsid w:val="00FB10AD"/>
    <w:rsid w:val="00FB5DF1"/>
    <w:rsid w:val="00FB6148"/>
    <w:rsid w:val="00FC54E3"/>
    <w:rsid w:val="00FC56C4"/>
    <w:rsid w:val="00FC6607"/>
    <w:rsid w:val="00FC7161"/>
    <w:rsid w:val="00FC792C"/>
    <w:rsid w:val="00FD5ADD"/>
    <w:rsid w:val="00FD6D69"/>
    <w:rsid w:val="00FE07F2"/>
    <w:rsid w:val="00FE0D81"/>
    <w:rsid w:val="00FE425A"/>
    <w:rsid w:val="00FE4AC0"/>
    <w:rsid w:val="00FE5409"/>
    <w:rsid w:val="00FE63E6"/>
    <w:rsid w:val="00FE7967"/>
    <w:rsid w:val="00FE7D73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B49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7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81622"/>
  </w:style>
  <w:style w:type="character" w:customStyle="1" w:styleId="FootnoteTextChar">
    <w:name w:val="Footnote Text Char"/>
    <w:basedOn w:val="DefaultParagraphFont"/>
    <w:link w:val="FootnoteText"/>
    <w:rsid w:val="00681622"/>
  </w:style>
  <w:style w:type="character" w:styleId="FootnoteReference">
    <w:name w:val="footnote reference"/>
    <w:basedOn w:val="DefaultParagraphFont"/>
    <w:unhideWhenUsed/>
    <w:rsid w:val="0068162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C5"/>
  </w:style>
  <w:style w:type="character" w:styleId="PageNumber">
    <w:name w:val="page number"/>
    <w:basedOn w:val="DefaultParagraphFont"/>
    <w:uiPriority w:val="99"/>
    <w:semiHidden/>
    <w:unhideWhenUsed/>
    <w:rsid w:val="00210BC5"/>
  </w:style>
  <w:style w:type="character" w:styleId="Hyperlink">
    <w:name w:val="Hyperlink"/>
    <w:basedOn w:val="DefaultParagraphFont"/>
    <w:uiPriority w:val="99"/>
    <w:unhideWhenUsed/>
    <w:rsid w:val="001373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7D5ECB"/>
    <w:rPr>
      <w:rFonts w:ascii="Helvetica" w:eastAsia="ヒラギノ角ゴ Pro W3" w:hAnsi="Helvetica" w:cs="Times New Roman"/>
      <w:color w:val="000000"/>
      <w:szCs w:val="20"/>
      <w:lang w:val="pt-PT" w:eastAsia="pt-BR"/>
    </w:rPr>
  </w:style>
  <w:style w:type="paragraph" w:styleId="Quote">
    <w:name w:val="Quote"/>
    <w:basedOn w:val="Normal"/>
    <w:next w:val="Normal"/>
    <w:link w:val="QuoteChar"/>
    <w:qFormat/>
    <w:rsid w:val="007D5ECB"/>
    <w:pPr>
      <w:spacing w:before="200" w:after="200"/>
      <w:ind w:left="2126"/>
      <w:jc w:val="both"/>
    </w:pPr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D5ECB"/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paragraph" w:styleId="NormalWeb">
    <w:name w:val="Normal (Web)"/>
    <w:basedOn w:val="Normal"/>
    <w:rsid w:val="00EA5254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7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81622"/>
  </w:style>
  <w:style w:type="character" w:customStyle="1" w:styleId="FootnoteTextChar">
    <w:name w:val="Footnote Text Char"/>
    <w:basedOn w:val="DefaultParagraphFont"/>
    <w:link w:val="FootnoteText"/>
    <w:rsid w:val="00681622"/>
  </w:style>
  <w:style w:type="character" w:styleId="FootnoteReference">
    <w:name w:val="footnote reference"/>
    <w:basedOn w:val="DefaultParagraphFont"/>
    <w:unhideWhenUsed/>
    <w:rsid w:val="0068162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C5"/>
  </w:style>
  <w:style w:type="character" w:styleId="PageNumber">
    <w:name w:val="page number"/>
    <w:basedOn w:val="DefaultParagraphFont"/>
    <w:uiPriority w:val="99"/>
    <w:semiHidden/>
    <w:unhideWhenUsed/>
    <w:rsid w:val="00210BC5"/>
  </w:style>
  <w:style w:type="character" w:styleId="Hyperlink">
    <w:name w:val="Hyperlink"/>
    <w:basedOn w:val="DefaultParagraphFont"/>
    <w:uiPriority w:val="99"/>
    <w:unhideWhenUsed/>
    <w:rsid w:val="001373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7D5ECB"/>
    <w:rPr>
      <w:rFonts w:ascii="Helvetica" w:eastAsia="ヒラギノ角ゴ Pro W3" w:hAnsi="Helvetica" w:cs="Times New Roman"/>
      <w:color w:val="000000"/>
      <w:szCs w:val="20"/>
      <w:lang w:val="pt-PT" w:eastAsia="pt-BR"/>
    </w:rPr>
  </w:style>
  <w:style w:type="paragraph" w:styleId="Quote">
    <w:name w:val="Quote"/>
    <w:basedOn w:val="Normal"/>
    <w:next w:val="Normal"/>
    <w:link w:val="QuoteChar"/>
    <w:qFormat/>
    <w:rsid w:val="007D5ECB"/>
    <w:pPr>
      <w:spacing w:before="200" w:after="200"/>
      <w:ind w:left="2126"/>
      <w:jc w:val="both"/>
    </w:pPr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D5ECB"/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paragraph" w:styleId="NormalWeb">
    <w:name w:val="Normal (Web)"/>
    <w:basedOn w:val="Normal"/>
    <w:rsid w:val="00EA5254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73BCC-1434-4D4F-B9FB-AA9977E0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8134</Words>
  <Characters>46364</Characters>
  <Application>Microsoft Macintosh Word</Application>
  <DocSecurity>0</DocSecurity>
  <Lines>386</Lines>
  <Paragraphs>108</Paragraphs>
  <ScaleCrop>false</ScaleCrop>
  <Company>PUCRS</Company>
  <LinksUpToDate>false</LinksUpToDate>
  <CharactersWithSpaces>54390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Mártin Haeberlin</dc:creator>
  <cp:keywords/>
  <dc:description/>
  <cp:lastModifiedBy>Mártin Haeberlin</cp:lastModifiedBy>
  <cp:revision>5</cp:revision>
  <cp:lastPrinted>2015-01-21T19:08:00Z</cp:lastPrinted>
  <dcterms:created xsi:type="dcterms:W3CDTF">2015-01-21T19:08:00Z</dcterms:created>
  <dcterms:modified xsi:type="dcterms:W3CDTF">2016-08-02T09:45:00Z</dcterms:modified>
</cp:coreProperties>
</file>